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A49" w:rsidRDefault="00190A49">
      <w:pPr>
        <w:pStyle w:val="BodyText"/>
        <w:rPr>
          <w:sz w:val="20"/>
        </w:rPr>
      </w:pPr>
    </w:p>
    <w:p w:rsidR="008344FC" w:rsidRDefault="00C67D12" w:rsidP="008344FC">
      <w:pPr>
        <w:pStyle w:val="Heading9"/>
        <w:ind w:left="0"/>
        <w:jc w:val="center"/>
      </w:pPr>
      <w:r w:rsidRPr="00975EBB">
        <w:rPr>
          <w:rFonts w:asciiTheme="minorHAnsi" w:hAnsiTheme="minorHAnsi" w:cstheme="minorHAnsi"/>
          <w:noProof/>
        </w:rPr>
        <w:drawing>
          <wp:inline distT="0" distB="0" distL="0" distR="0" wp14:anchorId="2D4A6495" wp14:editId="1A016F04">
            <wp:extent cx="111442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748" cy="74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A49" w:rsidRPr="00C67D12" w:rsidRDefault="008344FC" w:rsidP="008344FC">
      <w:pPr>
        <w:pStyle w:val="Heading9"/>
        <w:ind w:left="0"/>
        <w:jc w:val="center"/>
        <w:rPr>
          <w:sz w:val="16"/>
        </w:rPr>
      </w:pPr>
      <w:r>
        <w:t>Individualized Educational Program (IEP) Process Visual Organizer</w:t>
      </w:r>
      <w:r>
        <w:br/>
      </w:r>
    </w:p>
    <w:p w:rsidR="00190A49" w:rsidRPr="008344FC" w:rsidRDefault="008344FC" w:rsidP="00C67D12">
      <w:pPr>
        <w:pStyle w:val="BodyText"/>
        <w:ind w:left="641" w:right="716"/>
      </w:pPr>
      <w:r>
        <w:t>Visual Organizers structure and support the Effective Teaming and Meeting Mechanics processes,</w:t>
      </w:r>
      <w:r w:rsidR="0014132F">
        <w:t xml:space="preserve"> </w:t>
      </w:r>
      <w:r>
        <w:t>which</w:t>
      </w:r>
      <w:r w:rsidR="0014132F">
        <w:t xml:space="preserve"> </w:t>
      </w:r>
      <w:r>
        <w:t>includes</w:t>
      </w:r>
      <w:r w:rsidR="0014132F">
        <w:t xml:space="preserve"> </w:t>
      </w:r>
      <w:r>
        <w:t>the</w:t>
      </w:r>
      <w:r w:rsidR="0014132F">
        <w:t xml:space="preserve"> </w:t>
      </w:r>
      <w:r>
        <w:t>use</w:t>
      </w:r>
      <w:r w:rsidR="0014132F">
        <w:t xml:space="preserve"> </w:t>
      </w:r>
      <w:r>
        <w:t>of</w:t>
      </w:r>
      <w:r w:rsidR="0014132F">
        <w:t xml:space="preserve"> </w:t>
      </w:r>
      <w:r>
        <w:t>Meeting</w:t>
      </w:r>
      <w:r w:rsidR="0014132F">
        <w:t xml:space="preserve"> </w:t>
      </w:r>
      <w:r>
        <w:t>Practices, Meeting Essentials, and Individual Meeting Accountability. This IEP Process Visual Organizer and the</w:t>
      </w:r>
      <w:r w:rsidR="0014132F">
        <w:t xml:space="preserve"> </w:t>
      </w:r>
      <w:r>
        <w:t>IEP</w:t>
      </w:r>
      <w:r w:rsidR="0014132F">
        <w:t xml:space="preserve"> </w:t>
      </w:r>
      <w:r>
        <w:t>Process</w:t>
      </w:r>
      <w:r w:rsidR="0014132F">
        <w:t xml:space="preserve"> </w:t>
      </w:r>
      <w:r>
        <w:t>Tool</w:t>
      </w:r>
      <w:r w:rsidR="0014132F">
        <w:t xml:space="preserve"> </w:t>
      </w:r>
      <w:r>
        <w:t>are designed</w:t>
      </w:r>
      <w:r w:rsidR="0014132F">
        <w:t xml:space="preserve"> </w:t>
      </w:r>
      <w:r>
        <w:t>to</w:t>
      </w:r>
      <w:r>
        <w:rPr>
          <w:spacing w:val="15"/>
        </w:rPr>
        <w:t xml:space="preserve"> </w:t>
      </w:r>
      <w:r>
        <w:t>assist</w:t>
      </w:r>
      <w:r>
        <w:rPr>
          <w:spacing w:val="15"/>
        </w:rPr>
        <w:t xml:space="preserve"> </w:t>
      </w:r>
      <w:r>
        <w:t>school</w:t>
      </w:r>
      <w:r>
        <w:rPr>
          <w:spacing w:val="16"/>
        </w:rPr>
        <w:t xml:space="preserve"> </w:t>
      </w:r>
      <w:r>
        <w:t>teams</w:t>
      </w:r>
      <w:r>
        <w:rPr>
          <w:spacing w:val="14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developing</w:t>
      </w:r>
      <w:r>
        <w:rPr>
          <w:spacing w:val="15"/>
        </w:rPr>
        <w:t xml:space="preserve"> </w:t>
      </w:r>
      <w:r>
        <w:t>authentic</w:t>
      </w:r>
      <w:r>
        <w:rPr>
          <w:spacing w:val="15"/>
        </w:rPr>
        <w:t xml:space="preserve"> </w:t>
      </w:r>
      <w:r>
        <w:t>IEPs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includes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primary</w:t>
      </w:r>
      <w:r>
        <w:rPr>
          <w:spacing w:val="13"/>
        </w:rPr>
        <w:t xml:space="preserve"> </w:t>
      </w:r>
      <w:r>
        <w:t>components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IEP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non-transition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students.</w:t>
      </w:r>
    </w:p>
    <w:p w:rsidR="00190A49" w:rsidRDefault="00190A49">
      <w:pPr>
        <w:pStyle w:val="BodyText"/>
        <w:spacing w:before="10" w:after="1"/>
        <w:rPr>
          <w:sz w:val="15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969"/>
        <w:gridCol w:w="2429"/>
        <w:gridCol w:w="2879"/>
        <w:gridCol w:w="2969"/>
      </w:tblGrid>
      <w:tr w:rsidR="0014132F" w:rsidTr="00C67F49">
        <w:trPr>
          <w:trHeight w:val="790"/>
          <w:jc w:val="center"/>
        </w:trPr>
        <w:tc>
          <w:tcPr>
            <w:tcW w:w="2070" w:type="dxa"/>
            <w:shd w:val="clear" w:color="auto" w:fill="F3F3F3"/>
          </w:tcPr>
          <w:p w:rsidR="0014132F" w:rsidRDefault="0014132F">
            <w:pPr>
              <w:pStyle w:val="TableParagraph"/>
              <w:spacing w:before="3"/>
            </w:pPr>
          </w:p>
          <w:p w:rsidR="0014132F" w:rsidRDefault="0014132F">
            <w:pPr>
              <w:pStyle w:val="TableParagraph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>Parent Input</w:t>
            </w:r>
          </w:p>
        </w:tc>
        <w:tc>
          <w:tcPr>
            <w:tcW w:w="2969" w:type="dxa"/>
            <w:shd w:val="clear" w:color="auto" w:fill="F3F3F3"/>
          </w:tcPr>
          <w:p w:rsidR="008344FC" w:rsidRDefault="0014132F" w:rsidP="008344FC">
            <w:pPr>
              <w:pStyle w:val="TableParagraph"/>
              <w:spacing w:before="107"/>
              <w:ind w:left="1144"/>
              <w:rPr>
                <w:b/>
                <w:sz w:val="20"/>
              </w:rPr>
            </w:pPr>
            <w:r>
              <w:rPr>
                <w:b/>
                <w:sz w:val="20"/>
              </w:rPr>
              <w:t>PLAAFP</w:t>
            </w:r>
          </w:p>
          <w:p w:rsidR="0014132F" w:rsidRDefault="0014132F" w:rsidP="008344FC">
            <w:pPr>
              <w:pStyle w:val="TableParagraph"/>
              <w:spacing w:before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8344FC">
              <w:rPr>
                <w:b/>
                <w:sz w:val="20"/>
              </w:rPr>
              <w:t xml:space="preserve">Need </w:t>
            </w:r>
            <w:r>
              <w:rPr>
                <w:b/>
                <w:sz w:val="20"/>
              </w:rPr>
              <w:t>Data</w:t>
            </w:r>
            <w:r w:rsidR="008344F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Impact</w:t>
            </w:r>
          </w:p>
        </w:tc>
        <w:tc>
          <w:tcPr>
            <w:tcW w:w="2429" w:type="dxa"/>
            <w:shd w:val="clear" w:color="auto" w:fill="F3F3F3"/>
          </w:tcPr>
          <w:p w:rsidR="0014132F" w:rsidRDefault="0014132F">
            <w:pPr>
              <w:pStyle w:val="TableParagraph"/>
              <w:spacing w:before="156" w:line="235" w:lineRule="auto"/>
              <w:ind w:left="861" w:right="309" w:hanging="541"/>
              <w:rPr>
                <w:b/>
                <w:sz w:val="20"/>
              </w:rPr>
            </w:pPr>
            <w:r>
              <w:rPr>
                <w:b/>
                <w:sz w:val="20"/>
              </w:rPr>
              <w:t>Supplementary Aids/ Services</w:t>
            </w:r>
          </w:p>
        </w:tc>
        <w:tc>
          <w:tcPr>
            <w:tcW w:w="2879" w:type="dxa"/>
            <w:shd w:val="clear" w:color="auto" w:fill="F3F3F3"/>
          </w:tcPr>
          <w:p w:rsidR="0014132F" w:rsidRDefault="0014132F">
            <w:pPr>
              <w:pStyle w:val="TableParagraph"/>
              <w:spacing w:before="156" w:line="235" w:lineRule="auto"/>
              <w:ind w:left="921" w:right="596" w:hanging="330"/>
              <w:rPr>
                <w:b/>
                <w:sz w:val="20"/>
              </w:rPr>
            </w:pPr>
            <w:r>
              <w:rPr>
                <w:b/>
                <w:sz w:val="20"/>
              </w:rPr>
              <w:t>Goals &amp; Objectives/ Benchmarks</w:t>
            </w:r>
          </w:p>
        </w:tc>
        <w:tc>
          <w:tcPr>
            <w:tcW w:w="2969" w:type="dxa"/>
            <w:shd w:val="clear" w:color="auto" w:fill="F3F3F3"/>
          </w:tcPr>
          <w:p w:rsidR="0014132F" w:rsidRDefault="0014132F">
            <w:pPr>
              <w:pStyle w:val="TableParagraph"/>
              <w:spacing w:before="156" w:line="235" w:lineRule="auto"/>
              <w:ind w:left="607" w:right="348" w:hanging="240"/>
              <w:rPr>
                <w:b/>
                <w:sz w:val="20"/>
              </w:rPr>
            </w:pPr>
            <w:r>
              <w:rPr>
                <w:b/>
                <w:sz w:val="20"/>
              </w:rPr>
              <w:t>Special Education Program and Related Services</w:t>
            </w:r>
          </w:p>
        </w:tc>
      </w:tr>
      <w:tr w:rsidR="00190A49" w:rsidTr="00C67D12">
        <w:trPr>
          <w:trHeight w:val="5920"/>
          <w:jc w:val="center"/>
        </w:trPr>
        <w:tc>
          <w:tcPr>
            <w:tcW w:w="207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90A49" w:rsidRPr="004E7E1F" w:rsidRDefault="00190A49" w:rsidP="004E7E1F">
      <w:pPr>
        <w:pStyle w:val="Heading9"/>
        <w:ind w:left="0"/>
        <w:rPr>
          <w:sz w:val="6"/>
        </w:rPr>
      </w:pPr>
    </w:p>
    <w:sectPr w:rsidR="00190A49" w:rsidRPr="004E7E1F" w:rsidSect="00C67F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980" w:right="500" w:bottom="76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32F" w:rsidRDefault="0014132F" w:rsidP="0014132F">
      <w:r>
        <w:separator/>
      </w:r>
    </w:p>
  </w:endnote>
  <w:endnote w:type="continuationSeparator" w:id="0">
    <w:p w:rsidR="0014132F" w:rsidRDefault="0014132F" w:rsidP="0014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D12" w:rsidRDefault="00C67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4FC" w:rsidRPr="008344FC" w:rsidRDefault="008344FC" w:rsidP="008344FC">
    <w:pPr>
      <w:pStyle w:val="Footer"/>
      <w:jc w:val="right"/>
      <w:rPr>
        <w:rFonts w:asciiTheme="minorHAnsi" w:hAnsiTheme="minorHAnsi"/>
        <w:sz w:val="20"/>
      </w:rPr>
    </w:pPr>
    <w:r w:rsidRPr="008344FC">
      <w:rPr>
        <w:rFonts w:asciiTheme="minorHAnsi" w:hAnsiTheme="minorHAnsi"/>
        <w:sz w:val="20"/>
      </w:rPr>
      <w:t xml:space="preserve">START Project </w:t>
    </w:r>
    <w:r w:rsidR="00C67D12">
      <w:rPr>
        <w:rFonts w:asciiTheme="minorHAnsi" w:hAnsiTheme="minorHAnsi"/>
        <w:sz w:val="20"/>
      </w:rPr>
      <w:t>2021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D12" w:rsidRDefault="00C67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32F" w:rsidRDefault="0014132F" w:rsidP="0014132F">
      <w:r>
        <w:separator/>
      </w:r>
    </w:p>
  </w:footnote>
  <w:footnote w:type="continuationSeparator" w:id="0">
    <w:p w:rsidR="0014132F" w:rsidRDefault="0014132F" w:rsidP="00141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D12" w:rsidRDefault="00C67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D12" w:rsidRDefault="00C67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D12" w:rsidRDefault="00C67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94936"/>
    <w:multiLevelType w:val="hybridMultilevel"/>
    <w:tmpl w:val="BBC03554"/>
    <w:lvl w:ilvl="0" w:tplc="45681BC0">
      <w:start w:val="16"/>
      <w:numFmt w:val="decimal"/>
      <w:lvlText w:val="%1."/>
      <w:lvlJc w:val="left"/>
      <w:pPr>
        <w:ind w:left="1514" w:hanging="765"/>
        <w:jc w:val="left"/>
      </w:pPr>
      <w:rPr>
        <w:rFonts w:ascii="Arial" w:eastAsia="Arial" w:hAnsi="Arial" w:cs="Arial" w:hint="default"/>
        <w:w w:val="90"/>
        <w:sz w:val="22"/>
        <w:szCs w:val="22"/>
        <w:lang w:val="en-US" w:eastAsia="en-US" w:bidi="en-US"/>
      </w:rPr>
    </w:lvl>
    <w:lvl w:ilvl="1" w:tplc="E6EEBCF4">
      <w:numFmt w:val="bullet"/>
      <w:lvlText w:val="•"/>
      <w:lvlJc w:val="left"/>
      <w:pPr>
        <w:ind w:left="2592" w:hanging="765"/>
      </w:pPr>
      <w:rPr>
        <w:rFonts w:hint="default"/>
        <w:lang w:val="en-US" w:eastAsia="en-US" w:bidi="en-US"/>
      </w:rPr>
    </w:lvl>
    <w:lvl w:ilvl="2" w:tplc="55A85EA4">
      <w:numFmt w:val="bullet"/>
      <w:lvlText w:val="•"/>
      <w:lvlJc w:val="left"/>
      <w:pPr>
        <w:ind w:left="3664" w:hanging="765"/>
      </w:pPr>
      <w:rPr>
        <w:rFonts w:hint="default"/>
        <w:lang w:val="en-US" w:eastAsia="en-US" w:bidi="en-US"/>
      </w:rPr>
    </w:lvl>
    <w:lvl w:ilvl="3" w:tplc="322ACD1E">
      <w:numFmt w:val="bullet"/>
      <w:lvlText w:val="•"/>
      <w:lvlJc w:val="left"/>
      <w:pPr>
        <w:ind w:left="4736" w:hanging="765"/>
      </w:pPr>
      <w:rPr>
        <w:rFonts w:hint="default"/>
        <w:lang w:val="en-US" w:eastAsia="en-US" w:bidi="en-US"/>
      </w:rPr>
    </w:lvl>
    <w:lvl w:ilvl="4" w:tplc="981C191A">
      <w:numFmt w:val="bullet"/>
      <w:lvlText w:val="•"/>
      <w:lvlJc w:val="left"/>
      <w:pPr>
        <w:ind w:left="5808" w:hanging="765"/>
      </w:pPr>
      <w:rPr>
        <w:rFonts w:hint="default"/>
        <w:lang w:val="en-US" w:eastAsia="en-US" w:bidi="en-US"/>
      </w:rPr>
    </w:lvl>
    <w:lvl w:ilvl="5" w:tplc="779C167C">
      <w:numFmt w:val="bullet"/>
      <w:lvlText w:val="•"/>
      <w:lvlJc w:val="left"/>
      <w:pPr>
        <w:ind w:left="6880" w:hanging="765"/>
      </w:pPr>
      <w:rPr>
        <w:rFonts w:hint="default"/>
        <w:lang w:val="en-US" w:eastAsia="en-US" w:bidi="en-US"/>
      </w:rPr>
    </w:lvl>
    <w:lvl w:ilvl="6" w:tplc="FC108504">
      <w:numFmt w:val="bullet"/>
      <w:lvlText w:val="•"/>
      <w:lvlJc w:val="left"/>
      <w:pPr>
        <w:ind w:left="7952" w:hanging="765"/>
      </w:pPr>
      <w:rPr>
        <w:rFonts w:hint="default"/>
        <w:lang w:val="en-US" w:eastAsia="en-US" w:bidi="en-US"/>
      </w:rPr>
    </w:lvl>
    <w:lvl w:ilvl="7" w:tplc="7D2474E8">
      <w:numFmt w:val="bullet"/>
      <w:lvlText w:val="•"/>
      <w:lvlJc w:val="left"/>
      <w:pPr>
        <w:ind w:left="9024" w:hanging="765"/>
      </w:pPr>
      <w:rPr>
        <w:rFonts w:hint="default"/>
        <w:lang w:val="en-US" w:eastAsia="en-US" w:bidi="en-US"/>
      </w:rPr>
    </w:lvl>
    <w:lvl w:ilvl="8" w:tplc="5C4082F8">
      <w:numFmt w:val="bullet"/>
      <w:lvlText w:val="•"/>
      <w:lvlJc w:val="left"/>
      <w:pPr>
        <w:ind w:left="10096" w:hanging="765"/>
      </w:pPr>
      <w:rPr>
        <w:rFonts w:hint="default"/>
        <w:lang w:val="en-US" w:eastAsia="en-US" w:bidi="en-US"/>
      </w:rPr>
    </w:lvl>
  </w:abstractNum>
  <w:abstractNum w:abstractNumId="1" w15:restartNumberingAfterBreak="0">
    <w:nsid w:val="755D4A10"/>
    <w:multiLevelType w:val="hybridMultilevel"/>
    <w:tmpl w:val="25E2CF9C"/>
    <w:lvl w:ilvl="0" w:tplc="0DF2724A">
      <w:start w:val="1"/>
      <w:numFmt w:val="decimal"/>
      <w:lvlText w:val="%1."/>
      <w:lvlJc w:val="left"/>
      <w:pPr>
        <w:ind w:left="1515" w:hanging="765"/>
        <w:jc w:val="left"/>
      </w:pPr>
      <w:rPr>
        <w:rFonts w:ascii="Arial" w:eastAsia="Arial" w:hAnsi="Arial" w:cs="Arial" w:hint="default"/>
        <w:w w:val="76"/>
        <w:sz w:val="22"/>
        <w:szCs w:val="22"/>
        <w:lang w:val="en-US" w:eastAsia="en-US" w:bidi="en-US"/>
      </w:rPr>
    </w:lvl>
    <w:lvl w:ilvl="1" w:tplc="22B83474">
      <w:numFmt w:val="bullet"/>
      <w:lvlText w:val="•"/>
      <w:lvlJc w:val="left"/>
      <w:pPr>
        <w:ind w:left="2592" w:hanging="765"/>
      </w:pPr>
      <w:rPr>
        <w:rFonts w:hint="default"/>
        <w:lang w:val="en-US" w:eastAsia="en-US" w:bidi="en-US"/>
      </w:rPr>
    </w:lvl>
    <w:lvl w:ilvl="2" w:tplc="B5480DEA">
      <w:numFmt w:val="bullet"/>
      <w:lvlText w:val="•"/>
      <w:lvlJc w:val="left"/>
      <w:pPr>
        <w:ind w:left="3664" w:hanging="765"/>
      </w:pPr>
      <w:rPr>
        <w:rFonts w:hint="default"/>
        <w:lang w:val="en-US" w:eastAsia="en-US" w:bidi="en-US"/>
      </w:rPr>
    </w:lvl>
    <w:lvl w:ilvl="3" w:tplc="0B5C1324">
      <w:numFmt w:val="bullet"/>
      <w:lvlText w:val="•"/>
      <w:lvlJc w:val="left"/>
      <w:pPr>
        <w:ind w:left="4736" w:hanging="765"/>
      </w:pPr>
      <w:rPr>
        <w:rFonts w:hint="default"/>
        <w:lang w:val="en-US" w:eastAsia="en-US" w:bidi="en-US"/>
      </w:rPr>
    </w:lvl>
    <w:lvl w:ilvl="4" w:tplc="92BA8FFA">
      <w:numFmt w:val="bullet"/>
      <w:lvlText w:val="•"/>
      <w:lvlJc w:val="left"/>
      <w:pPr>
        <w:ind w:left="5808" w:hanging="765"/>
      </w:pPr>
      <w:rPr>
        <w:rFonts w:hint="default"/>
        <w:lang w:val="en-US" w:eastAsia="en-US" w:bidi="en-US"/>
      </w:rPr>
    </w:lvl>
    <w:lvl w:ilvl="5" w:tplc="D3F61180">
      <w:numFmt w:val="bullet"/>
      <w:lvlText w:val="•"/>
      <w:lvlJc w:val="left"/>
      <w:pPr>
        <w:ind w:left="6880" w:hanging="765"/>
      </w:pPr>
      <w:rPr>
        <w:rFonts w:hint="default"/>
        <w:lang w:val="en-US" w:eastAsia="en-US" w:bidi="en-US"/>
      </w:rPr>
    </w:lvl>
    <w:lvl w:ilvl="6" w:tplc="CEFC3102">
      <w:numFmt w:val="bullet"/>
      <w:lvlText w:val="•"/>
      <w:lvlJc w:val="left"/>
      <w:pPr>
        <w:ind w:left="7952" w:hanging="765"/>
      </w:pPr>
      <w:rPr>
        <w:rFonts w:hint="default"/>
        <w:lang w:val="en-US" w:eastAsia="en-US" w:bidi="en-US"/>
      </w:rPr>
    </w:lvl>
    <w:lvl w:ilvl="7" w:tplc="9EA6BE76">
      <w:numFmt w:val="bullet"/>
      <w:lvlText w:val="•"/>
      <w:lvlJc w:val="left"/>
      <w:pPr>
        <w:ind w:left="9024" w:hanging="765"/>
      </w:pPr>
      <w:rPr>
        <w:rFonts w:hint="default"/>
        <w:lang w:val="en-US" w:eastAsia="en-US" w:bidi="en-US"/>
      </w:rPr>
    </w:lvl>
    <w:lvl w:ilvl="8" w:tplc="3C4C951C">
      <w:numFmt w:val="bullet"/>
      <w:lvlText w:val="•"/>
      <w:lvlJc w:val="left"/>
      <w:pPr>
        <w:ind w:left="10096" w:hanging="765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49"/>
    <w:rsid w:val="0014132F"/>
    <w:rsid w:val="00190A49"/>
    <w:rsid w:val="004E7E1F"/>
    <w:rsid w:val="008344FC"/>
    <w:rsid w:val="00C67D12"/>
    <w:rsid w:val="00C6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2ABC4"/>
  <w15:docId w15:val="{EA6A4687-28A4-4113-BF94-BAE26B40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line="1889" w:lineRule="exact"/>
      <w:outlineLvl w:val="0"/>
    </w:pPr>
    <w:rPr>
      <w:rFonts w:ascii="Lucida Sans" w:eastAsia="Lucida Sans" w:hAnsi="Lucida Sans" w:cs="Lucida Sans"/>
      <w:sz w:val="165"/>
      <w:szCs w:val="165"/>
    </w:rPr>
  </w:style>
  <w:style w:type="paragraph" w:styleId="Heading2">
    <w:name w:val="heading 2"/>
    <w:basedOn w:val="Normal"/>
    <w:uiPriority w:val="1"/>
    <w:qFormat/>
    <w:pPr>
      <w:spacing w:before="73"/>
      <w:ind w:left="170"/>
      <w:outlineLvl w:val="1"/>
    </w:pPr>
    <w:rPr>
      <w:rFonts w:ascii="Lucida Sans" w:eastAsia="Lucida Sans" w:hAnsi="Lucida Sans" w:cs="Lucida Sans"/>
      <w:sz w:val="79"/>
      <w:szCs w:val="79"/>
    </w:rPr>
  </w:style>
  <w:style w:type="paragraph" w:styleId="Heading3">
    <w:name w:val="heading 3"/>
    <w:basedOn w:val="Normal"/>
    <w:uiPriority w:val="1"/>
    <w:qFormat/>
    <w:pPr>
      <w:spacing w:before="76"/>
      <w:ind w:left="795"/>
      <w:outlineLvl w:val="2"/>
    </w:pPr>
    <w:rPr>
      <w:rFonts w:ascii="Cambria" w:eastAsia="Cambria" w:hAnsi="Cambria" w:cs="Cambria"/>
      <w:sz w:val="74"/>
      <w:szCs w:val="74"/>
    </w:rPr>
  </w:style>
  <w:style w:type="paragraph" w:styleId="Heading4">
    <w:name w:val="heading 4"/>
    <w:basedOn w:val="Normal"/>
    <w:uiPriority w:val="1"/>
    <w:qFormat/>
    <w:pPr>
      <w:ind w:left="1219"/>
      <w:jc w:val="center"/>
      <w:outlineLvl w:val="3"/>
    </w:pPr>
    <w:rPr>
      <w:rFonts w:ascii="Cambria" w:eastAsia="Cambria" w:hAnsi="Cambria" w:cs="Cambria"/>
      <w:sz w:val="72"/>
      <w:szCs w:val="72"/>
    </w:rPr>
  </w:style>
  <w:style w:type="paragraph" w:styleId="Heading5">
    <w:name w:val="heading 5"/>
    <w:basedOn w:val="Normal"/>
    <w:uiPriority w:val="1"/>
    <w:qFormat/>
    <w:pPr>
      <w:spacing w:before="15"/>
      <w:ind w:left="1840"/>
      <w:jc w:val="center"/>
      <w:outlineLvl w:val="4"/>
    </w:pPr>
    <w:rPr>
      <w:rFonts w:ascii="Cambria" w:eastAsia="Cambria" w:hAnsi="Cambria" w:cs="Cambria"/>
      <w:sz w:val="66"/>
      <w:szCs w:val="66"/>
    </w:rPr>
  </w:style>
  <w:style w:type="paragraph" w:styleId="Heading6">
    <w:name w:val="heading 6"/>
    <w:basedOn w:val="Normal"/>
    <w:uiPriority w:val="1"/>
    <w:qFormat/>
    <w:pPr>
      <w:ind w:left="1680"/>
      <w:outlineLvl w:val="5"/>
    </w:pPr>
    <w:rPr>
      <w:sz w:val="45"/>
      <w:szCs w:val="45"/>
    </w:rPr>
  </w:style>
  <w:style w:type="paragraph" w:styleId="Heading7">
    <w:name w:val="heading 7"/>
    <w:basedOn w:val="Normal"/>
    <w:uiPriority w:val="1"/>
    <w:qFormat/>
    <w:pPr>
      <w:ind w:left="795"/>
      <w:outlineLvl w:val="6"/>
    </w:pPr>
    <w:rPr>
      <w:sz w:val="41"/>
      <w:szCs w:val="41"/>
    </w:rPr>
  </w:style>
  <w:style w:type="paragraph" w:styleId="Heading8">
    <w:name w:val="heading 8"/>
    <w:basedOn w:val="Normal"/>
    <w:uiPriority w:val="1"/>
    <w:qFormat/>
    <w:pPr>
      <w:ind w:left="2790"/>
      <w:outlineLvl w:val="7"/>
    </w:pPr>
    <w:rPr>
      <w:sz w:val="29"/>
      <w:szCs w:val="29"/>
    </w:rPr>
  </w:style>
  <w:style w:type="paragraph" w:styleId="Heading9">
    <w:name w:val="heading 9"/>
    <w:basedOn w:val="Normal"/>
    <w:uiPriority w:val="1"/>
    <w:qFormat/>
    <w:pPr>
      <w:spacing w:before="52"/>
      <w:ind w:left="735"/>
      <w:outlineLvl w:val="8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spacing w:before="62"/>
      <w:ind w:left="1515" w:hanging="765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41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32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41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32F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3372-C0BB-4B41-AA08-B220F2C49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Effective Teaming and Meeting Mechanics Resource Manual</vt:lpstr>
    </vt:vector>
  </TitlesOfParts>
  <Company>Grand Valley State University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Teaming and Meeting Mechanics Resource Manual</dc:title>
  <dc:creator>START Project</dc:creator>
  <cp:keywords>DADDpCRI4so</cp:keywords>
  <cp:lastModifiedBy>Kellie Fitzgerald</cp:lastModifiedBy>
  <cp:revision>3</cp:revision>
  <dcterms:created xsi:type="dcterms:W3CDTF">2018-10-15T14:34:00Z</dcterms:created>
  <dcterms:modified xsi:type="dcterms:W3CDTF">2021-09-23T14:34:00Z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Canva</vt:lpwstr>
  </property>
  <property fmtid="{D5CDD505-2E9C-101B-9397-08002B2CF9AE}" pid="4" name="LastSaved">
    <vt:filetime>2018-10-12T00:00:00Z</vt:filetime>
  </property>
</Properties>
</file>