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C45" w:rsidRPr="00575C45" w:rsidRDefault="00575C45" w:rsidP="00575C45">
      <w:pPr>
        <w:rPr>
          <w:b/>
          <w:bCs/>
        </w:rPr>
      </w:pPr>
      <w:r w:rsidRPr="00575C45">
        <w:rPr>
          <w:b/>
          <w:bCs/>
        </w:rPr>
        <w:t>The Risk Busters: How to Build a Team to Manage Risk</w:t>
      </w:r>
    </w:p>
    <w:p w:rsidR="00575C45" w:rsidRPr="00575C45" w:rsidRDefault="00575C45" w:rsidP="00575C45">
      <w:r w:rsidRPr="00575C45">
        <w:t xml:space="preserve">“Take this opportunity to act”: Why creating a cross-campus team for risk management can help reframe an institution’s approach to risk </w:t>
      </w:r>
      <w:proofErr w:type="spellStart"/>
      <w:r w:rsidRPr="00575C45">
        <w:t>postpandemic</w:t>
      </w:r>
      <w:proofErr w:type="spellEnd"/>
      <w:r w:rsidRPr="00575C45">
        <w:t>.</w:t>
      </w:r>
    </w:p>
    <w:p w:rsidR="00575C45" w:rsidRPr="00575C45" w:rsidRDefault="00575C45" w:rsidP="00575C45">
      <w:r w:rsidRPr="00575C45">
        <w:drawing>
          <wp:inline distT="0" distB="0" distL="0" distR="0">
            <wp:extent cx="11430000" cy="5715000"/>
            <wp:effectExtent l="0" t="0" r="0" b="0"/>
            <wp:docPr id="1" name="Picture 1" descr="Illustrations of 10 people's headsh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s of 10 people's headsho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5715000"/>
                    </a:xfrm>
                    <a:prstGeom prst="rect">
                      <a:avLst/>
                    </a:prstGeom>
                    <a:noFill/>
                    <a:ln>
                      <a:noFill/>
                    </a:ln>
                  </pic:spPr>
                </pic:pic>
              </a:graphicData>
            </a:graphic>
          </wp:inline>
        </w:drawing>
      </w:r>
    </w:p>
    <w:p w:rsidR="00575C45" w:rsidRPr="00575C45" w:rsidRDefault="00575C45" w:rsidP="00575C45">
      <w:r w:rsidRPr="00575C45">
        <w:t xml:space="preserve">Illustration: </w:t>
      </w:r>
      <w:proofErr w:type="spellStart"/>
      <w:r w:rsidRPr="00575C45">
        <w:t>GoodStudio</w:t>
      </w:r>
      <w:proofErr w:type="spellEnd"/>
      <w:r w:rsidRPr="00575C45">
        <w:t>/Shutterstock</w:t>
      </w:r>
    </w:p>
    <w:p w:rsidR="00575C45" w:rsidRPr="00575C45" w:rsidRDefault="00575C45" w:rsidP="00575C45">
      <w:r w:rsidRPr="00575C45">
        <w:t> </w:t>
      </w:r>
      <w:hyperlink r:id="rId6" w:history="1">
        <w:r w:rsidRPr="00575C45">
          <w:rPr>
            <w:rStyle w:val="Hyperlink"/>
          </w:rPr>
          <w:t> </w:t>
        </w:r>
      </w:hyperlink>
    </w:p>
    <w:p w:rsidR="00575C45" w:rsidRPr="00575C45" w:rsidRDefault="00575C45" w:rsidP="00575C45">
      <w:hyperlink r:id="rId7" w:history="1">
        <w:r w:rsidRPr="00575C45">
          <w:rPr>
            <w:rStyle w:val="Hyperlink"/>
          </w:rPr>
          <w:t>John Gallagher</w:t>
        </w:r>
      </w:hyperlink>
    </w:p>
    <w:p w:rsidR="00575C45" w:rsidRPr="00575C45" w:rsidRDefault="00575C45" w:rsidP="00575C45">
      <w:r w:rsidRPr="00575C45">
        <w:t> </w:t>
      </w:r>
    </w:p>
    <w:p w:rsidR="00575C45" w:rsidRPr="00575C45" w:rsidRDefault="00575C45" w:rsidP="00575C45">
      <w:r w:rsidRPr="00575C45">
        <w:t> </w:t>
      </w:r>
    </w:p>
    <w:p w:rsidR="00575C45" w:rsidRPr="00575C45" w:rsidRDefault="00575C45" w:rsidP="00575C45">
      <w:r w:rsidRPr="00575C45">
        <w:t>February 2, 2021</w:t>
      </w:r>
    </w:p>
    <w:p w:rsidR="00575C45" w:rsidRPr="00575C45" w:rsidRDefault="00575C45" w:rsidP="00575C45">
      <w:r w:rsidRPr="00575C45">
        <w:lastRenderedPageBreak/>
        <w:t>Sometimes a crisis is unavoidable, whether it is a single student’s accident or an all-encompassing global pandemic. But a robust risk management strategy can create the infrastructure necessary to address many issues—or, even better, to avoid them.</w:t>
      </w:r>
    </w:p>
    <w:p w:rsidR="00575C45" w:rsidRPr="00575C45" w:rsidRDefault="00575C45" w:rsidP="00575C45">
      <w:r w:rsidRPr="00575C45">
        <w:t>This is especially true for international programs. “Global education is becoming such a big part of higher ed in this country, and being able to think about and manage risk goes hand in hand with it,” says Steven Holland, MS, chief risk officer at the University of Arizona and a member of the University Risk Management &amp; Insurance Association (URMIA). “Those that cast risk aside are doing it at their own peril.”</w:t>
      </w:r>
    </w:p>
    <w:p w:rsidR="00575C45" w:rsidRPr="00575C45" w:rsidRDefault="00575C45" w:rsidP="00575C45">
      <w:r w:rsidRPr="00575C45">
        <w:t xml:space="preserve">While senior international officers (SIOs) have a particular stake in managing risk, the task should not fall entirely on their shoulders. “Risk management is not the exclusive responsibility of the SIO,” says Cheryl </w:t>
      </w:r>
      <w:proofErr w:type="spellStart"/>
      <w:r w:rsidRPr="00575C45">
        <w:t>Matherly</w:t>
      </w:r>
      <w:proofErr w:type="spellEnd"/>
      <w:r w:rsidRPr="00575C45">
        <w:t>, EdD, vice president and vice provost for international affairs at Lehigh University. “It’s a shared responsibility. While the SIO brings a particular body of knowledge, it has to be shared with others who have responsibility on campus.”</w:t>
      </w:r>
    </w:p>
    <w:p w:rsidR="00575C45" w:rsidRPr="00575C45" w:rsidRDefault="00575C45" w:rsidP="00575C45">
      <w:r w:rsidRPr="00575C45">
        <w:t>To share the responsibility, risk professionals say, institutions should identify experts from all corners of campus and create a team composed of representatives from multiple departments. This shared approach is critical to successfully anticipating and confronting crises.</w:t>
      </w:r>
    </w:p>
    <w:p w:rsidR="00575C45" w:rsidRPr="00575C45" w:rsidRDefault="00575C45" w:rsidP="00575C45">
      <w:pPr>
        <w:rPr>
          <w:b/>
          <w:bCs/>
        </w:rPr>
      </w:pPr>
      <w:r w:rsidRPr="00575C45">
        <w:rPr>
          <w:b/>
          <w:bCs/>
        </w:rPr>
        <w:t>Components of a Risk Management Team and How to Build One</w:t>
      </w:r>
    </w:p>
    <w:p w:rsidR="00575C45" w:rsidRPr="00575C45" w:rsidRDefault="00575C45" w:rsidP="00575C45">
      <w:r w:rsidRPr="00575C45">
        <w:t>The composition of a risk management team depends on institution type and structure, though some components are universally necessary. Building and maintaining good relationships between team members are equally important to the team’s composition.</w:t>
      </w:r>
    </w:p>
    <w:p w:rsidR="00575C45" w:rsidRPr="00575C45" w:rsidRDefault="00575C45" w:rsidP="00575C45">
      <w:proofErr w:type="spellStart"/>
      <w:r w:rsidRPr="00575C45">
        <w:t>Matherly</w:t>
      </w:r>
      <w:proofErr w:type="spellEnd"/>
      <w:r w:rsidRPr="00575C45">
        <w:t>, who has </w:t>
      </w:r>
      <w:hyperlink r:id="rId8" w:history="1">
        <w:r w:rsidRPr="00575C45">
          <w:rPr>
            <w:rStyle w:val="Hyperlink"/>
          </w:rPr>
          <w:t>written about risk management for SIOs</w:t>
        </w:r>
      </w:hyperlink>
      <w:r w:rsidRPr="00575C45">
        <w:t>, says that a risk management team should include certain representatives. “A lot depends on your particular structure and roles on campus, but at the core of it, it involves someone from the general counsel’s office and [someone from] the university risk office.” (</w:t>
      </w:r>
      <w:proofErr w:type="spellStart"/>
      <w:r w:rsidRPr="00575C45">
        <w:t>Matherly</w:t>
      </w:r>
      <w:proofErr w:type="spellEnd"/>
      <w:r w:rsidRPr="00575C45">
        <w:t xml:space="preserve"> acknowledges that this can be a challenge at smaller institutions, which may not have risk management offices.)</w:t>
      </w:r>
    </w:p>
    <w:p w:rsidR="00575C45" w:rsidRPr="00575C45" w:rsidRDefault="00575C45" w:rsidP="00575C45">
      <w:r w:rsidRPr="00575C45">
        <w:t>Adria Baker, EdD, executive director and associate vice provost for international education at Rice University, underscores the importance of building relationships with those two representatives. “If you develop the relationships, the communication cycle goes quicker,” she says.</w:t>
      </w:r>
    </w:p>
    <w:p w:rsidR="00575C45" w:rsidRPr="00575C45" w:rsidRDefault="00575C45" w:rsidP="00575C45">
      <w:pPr>
        <w:rPr>
          <w:b/>
          <w:bCs/>
        </w:rPr>
      </w:pPr>
      <w:r w:rsidRPr="00575C45">
        <w:rPr>
          <w:b/>
          <w:bCs/>
        </w:rPr>
        <w:t xml:space="preserve">“Risk management is not the exclusive responsibility of the SIO. It’s a shared responsibility. While the SIO brings a particular body of knowledge, it has to be shared with others who have responsibility on campus.” —Cheryl </w:t>
      </w:r>
      <w:proofErr w:type="spellStart"/>
      <w:r w:rsidRPr="00575C45">
        <w:rPr>
          <w:b/>
          <w:bCs/>
        </w:rPr>
        <w:t>Matherly</w:t>
      </w:r>
      <w:proofErr w:type="spellEnd"/>
    </w:p>
    <w:p w:rsidR="00575C45" w:rsidRPr="00575C45" w:rsidRDefault="00575C45" w:rsidP="00575C45">
      <w:r w:rsidRPr="00575C45">
        <w:t xml:space="preserve">In addition to representatives from the general counsel’s and university risk offices, </w:t>
      </w:r>
      <w:proofErr w:type="spellStart"/>
      <w:r w:rsidRPr="00575C45">
        <w:t>Matherly</w:t>
      </w:r>
      <w:proofErr w:type="spellEnd"/>
      <w:r w:rsidRPr="00575C45">
        <w:t xml:space="preserve"> notes that a participant from the chief financial officer’s office and someone from the campus health office are also recommended candidates for inclusion on a risk management team.</w:t>
      </w:r>
    </w:p>
    <w:p w:rsidR="00575C45" w:rsidRPr="00575C45" w:rsidRDefault="00575C45" w:rsidP="00575C45">
      <w:r w:rsidRPr="00575C45">
        <w:t>Beyond that, the group depends on the needs of the institution. Holland notes that his university’s International Travel Safety Oversight Committee also includes someone from the school’s police department, since that group has access to information about safety at the nearby border with Mexico.</w:t>
      </w:r>
    </w:p>
    <w:p w:rsidR="00575C45" w:rsidRPr="00575C45" w:rsidRDefault="00575C45" w:rsidP="00575C45">
      <w:r w:rsidRPr="00575C45">
        <w:lastRenderedPageBreak/>
        <w:t xml:space="preserve">When Susan </w:t>
      </w:r>
      <w:proofErr w:type="spellStart"/>
      <w:r w:rsidRPr="00575C45">
        <w:t>Popko</w:t>
      </w:r>
      <w:proofErr w:type="spellEnd"/>
      <w:r w:rsidRPr="00575C45">
        <w:t>, MA, was named associate provost for international programs at Santa Clara University in 2011, there was no risk management structure in place. The one she built includes representatives from the general counsel’s and risk management offices.</w:t>
      </w:r>
    </w:p>
    <w:p w:rsidR="00575C45" w:rsidRPr="00575C45" w:rsidRDefault="00575C45" w:rsidP="00575C45">
      <w:proofErr w:type="spellStart"/>
      <w:r w:rsidRPr="00575C45">
        <w:t>Popko</w:t>
      </w:r>
      <w:proofErr w:type="spellEnd"/>
      <w:r w:rsidRPr="00575C45">
        <w:t xml:space="preserve"> also identified stakeholders in other departments across campus that were running global programs on an ongoing basis—including the law school and Jesuit learning centers, which offer two-week cultural immersion programs abroad.</w:t>
      </w:r>
    </w:p>
    <w:p w:rsidR="00575C45" w:rsidRPr="00575C45" w:rsidRDefault="00575C45" w:rsidP="00575C45">
      <w:r w:rsidRPr="00575C45">
        <w:t xml:space="preserve">“They don’t think of themselves as working in the field of international education,” </w:t>
      </w:r>
      <w:proofErr w:type="spellStart"/>
      <w:r w:rsidRPr="00575C45">
        <w:t>Popko</w:t>
      </w:r>
      <w:proofErr w:type="spellEnd"/>
      <w:r w:rsidRPr="00575C45">
        <w:t xml:space="preserve"> says of some academic departments. “They have a different professional identity, but from our perspective, that’s what they’re doing.” The result is a committee that not only reviews all university-sponsored travel but does so in a way that is equitable across the entire university.</w:t>
      </w:r>
    </w:p>
    <w:p w:rsidR="00575C45" w:rsidRPr="00575C45" w:rsidRDefault="00575C45" w:rsidP="00575C45">
      <w:r w:rsidRPr="00575C45">
        <w:t xml:space="preserve">No matter the composition, the group has to be a manageable size. “You don’t want it so large that it is impossible to get the group together,” </w:t>
      </w:r>
      <w:proofErr w:type="spellStart"/>
      <w:r w:rsidRPr="00575C45">
        <w:t>Matherly</w:t>
      </w:r>
      <w:proofErr w:type="spellEnd"/>
      <w:r w:rsidRPr="00575C45">
        <w:t xml:space="preserve"> says. “It needs to be a group that understands it has particular responsibilities [to] make decisions quickly on behalf of the institution.”</w:t>
      </w:r>
    </w:p>
    <w:p w:rsidR="00575C45" w:rsidRPr="00575C45" w:rsidRDefault="00575C45" w:rsidP="00575C45">
      <w:pPr>
        <w:rPr>
          <w:b/>
          <w:bCs/>
        </w:rPr>
      </w:pPr>
      <w:r w:rsidRPr="00575C45">
        <w:rPr>
          <w:b/>
          <w:bCs/>
        </w:rPr>
        <w:t>Functions and Responsibilities of a Cross-Campus Risk Management Team</w:t>
      </w:r>
    </w:p>
    <w:p w:rsidR="00575C45" w:rsidRPr="00575C45" w:rsidRDefault="00575C45" w:rsidP="00575C45">
      <w:r w:rsidRPr="00575C45">
        <w:t>Baker says she prefers task forces to deal with specific issues. “For us, logistically, we have done a lot of small group meetings, keeping them short, getting people to think about the issues,” she notes.</w:t>
      </w:r>
    </w:p>
    <w:p w:rsidR="00575C45" w:rsidRPr="00575C45" w:rsidRDefault="00575C45" w:rsidP="00575C45">
      <w:r w:rsidRPr="00575C45">
        <w:t>The risk management group should not necessarily handle everything risk-related at the institution; they can and should work closely with crisis response teams.</w:t>
      </w:r>
    </w:p>
    <w:p w:rsidR="00575C45" w:rsidRPr="00575C45" w:rsidRDefault="00575C45" w:rsidP="00575C45">
      <w:pPr>
        <w:rPr>
          <w:b/>
          <w:bCs/>
        </w:rPr>
      </w:pPr>
      <w:r w:rsidRPr="00575C45">
        <w:rPr>
          <w:b/>
          <w:bCs/>
        </w:rPr>
        <w:t xml:space="preserve">“When the pandemic hit last spring, I spent a lot of time talking about existing policies to handle this. There was no need for a separate COVID committee to come up with its own processes. We had processes to handle this.” —Susan </w:t>
      </w:r>
      <w:proofErr w:type="spellStart"/>
      <w:r w:rsidRPr="00575C45">
        <w:rPr>
          <w:b/>
          <w:bCs/>
        </w:rPr>
        <w:t>Popko</w:t>
      </w:r>
      <w:proofErr w:type="spellEnd"/>
    </w:p>
    <w:p w:rsidR="00575C45" w:rsidRPr="00575C45" w:rsidRDefault="00575C45" w:rsidP="00575C45">
      <w:r w:rsidRPr="00575C45">
        <w:t xml:space="preserve">“There is risk management, as in the work done on the front end to mitigate risks, setting up policy, like travel policies, assessing the risk of particular activities,” </w:t>
      </w:r>
      <w:proofErr w:type="spellStart"/>
      <w:r w:rsidRPr="00575C45">
        <w:t>Matherly</w:t>
      </w:r>
      <w:proofErr w:type="spellEnd"/>
      <w:r w:rsidRPr="00575C45">
        <w:t xml:space="preserve"> says. “That group may look different from a crisis response team, which may involve people who are particular to that type of circumstance.”</w:t>
      </w:r>
    </w:p>
    <w:p w:rsidR="00575C45" w:rsidRPr="00575C45" w:rsidRDefault="00575C45" w:rsidP="00575C45">
      <w:proofErr w:type="spellStart"/>
      <w:r w:rsidRPr="00575C45">
        <w:t>Popko</w:t>
      </w:r>
      <w:proofErr w:type="spellEnd"/>
      <w:r w:rsidRPr="00575C45">
        <w:t xml:space="preserve"> notes that a robust risk management system can help an institution withstand a crisis such as the COVID-19 pandemic. “When the pandemic hit last spring, I spent a lot of time talking about existing policies to handle this,” she says. “There was no need for a separate COVID committee to come up with its own processes. We had processes to handle this.”</w:t>
      </w:r>
    </w:p>
    <w:p w:rsidR="00575C45" w:rsidRPr="00575C45" w:rsidRDefault="00575C45" w:rsidP="00575C45">
      <w:r w:rsidRPr="00575C45">
        <w:t xml:space="preserve">While the pandemic has highlighted the importance of risk management, Andrea </w:t>
      </w:r>
      <w:proofErr w:type="spellStart"/>
      <w:r w:rsidRPr="00575C45">
        <w:t>Bordeau</w:t>
      </w:r>
      <w:proofErr w:type="spellEnd"/>
      <w:r w:rsidRPr="00575C45">
        <w:t>, MA, global safety and security manager at Vanderbilt University, warns against having it distort the risks institutions face.</w:t>
      </w:r>
    </w:p>
    <w:p w:rsidR="00575C45" w:rsidRPr="00575C45" w:rsidRDefault="00575C45" w:rsidP="00575C45">
      <w:r w:rsidRPr="00575C45">
        <w:t xml:space="preserve">“Be very cautious not to get lost in the challenges of 2020, but think about the bigger picture,” she says. “Some of the things in my career that are the </w:t>
      </w:r>
      <w:proofErr w:type="gramStart"/>
      <w:r w:rsidRPr="00575C45">
        <w:t>most costly</w:t>
      </w:r>
      <w:proofErr w:type="gramEnd"/>
      <w:r w:rsidRPr="00575C45">
        <w:t xml:space="preserve"> for institutions are what happens to students in their free time.”</w:t>
      </w:r>
    </w:p>
    <w:p w:rsidR="00575C45" w:rsidRPr="00575C45" w:rsidRDefault="00575C45" w:rsidP="00575C45">
      <w:pPr>
        <w:rPr>
          <w:b/>
          <w:bCs/>
        </w:rPr>
      </w:pPr>
      <w:r w:rsidRPr="00575C45">
        <w:rPr>
          <w:b/>
          <w:bCs/>
        </w:rPr>
        <w:t>Risk Considerations and Commitments</w:t>
      </w:r>
    </w:p>
    <w:p w:rsidR="00575C45" w:rsidRPr="00575C45" w:rsidRDefault="00575C45" w:rsidP="00575C45">
      <w:r w:rsidRPr="00575C45">
        <w:t>To operate effectively, the risk management team needs a clear understanding of the institution’s tolerance for risk, which is typically decided by campus leadership.</w:t>
      </w:r>
    </w:p>
    <w:p w:rsidR="00575C45" w:rsidRPr="00575C45" w:rsidRDefault="00575C45" w:rsidP="00575C45">
      <w:r w:rsidRPr="00575C45">
        <w:lastRenderedPageBreak/>
        <w:t>However, risk tolerance is not the only consideration, says Holland—there is also risk appetite. “There are things that we want to accomplish as an institution, and we know there are certain risks inherent in them,” he says. “It’s more about having an institutional culture that recognizes the reality of risk but also has a commitment to mitigate it. There’s a balance between risk and reward. You take a certain risk because of the reward.”</w:t>
      </w:r>
    </w:p>
    <w:p w:rsidR="00575C45" w:rsidRPr="00575C45" w:rsidRDefault="00575C45" w:rsidP="00575C45">
      <w:proofErr w:type="spellStart"/>
      <w:r w:rsidRPr="00575C45">
        <w:t>Bordeau</w:t>
      </w:r>
      <w:proofErr w:type="spellEnd"/>
      <w:r w:rsidRPr="00575C45">
        <w:t>, who is also president of PULSE: Higher Education International Health and Safety Professionals, echoes the importance of understanding how to reckon risk tolerance and appetite—and adjust when needed.</w:t>
      </w:r>
    </w:p>
    <w:p w:rsidR="00575C45" w:rsidRPr="00575C45" w:rsidRDefault="00575C45" w:rsidP="00575C45">
      <w:pPr>
        <w:rPr>
          <w:b/>
          <w:bCs/>
        </w:rPr>
      </w:pPr>
      <w:r w:rsidRPr="00575C45">
        <w:rPr>
          <w:b/>
          <w:bCs/>
        </w:rPr>
        <w:t>“It’s more about having an institutional culture that recognizes the reality of risk but also has a commitment to mitigate it. There’s a balance between risk and reward. You take a certain risk because of the reward.” —Steve Holland</w:t>
      </w:r>
    </w:p>
    <w:p w:rsidR="00575C45" w:rsidRPr="00575C45" w:rsidRDefault="00575C45" w:rsidP="00575C45">
      <w:r w:rsidRPr="00575C45">
        <w:t>“When we’re talking about international education, the institution needs to talk about risk tolerance as the intersection of tolerance, appetite, and capacity,” she says. “If you’re the SIO, you say to yourself, ‘What is your appetite? What do we want to achieve? What do our students expect?’ The appetite needs to adjust to who your students are. The capacity is what you can afford to do in terms of resources that you have.”</w:t>
      </w:r>
    </w:p>
    <w:p w:rsidR="00575C45" w:rsidRPr="00575C45" w:rsidRDefault="00575C45" w:rsidP="00575C45">
      <w:r w:rsidRPr="00575C45">
        <w:t xml:space="preserve">Certainly, financial considerations can play a large role. “A lot of the institutional tolerance for risk has to do, honestly, with endowment and what can [the institution] sustain if things don’t go right,” </w:t>
      </w:r>
      <w:proofErr w:type="spellStart"/>
      <w:r w:rsidRPr="00575C45">
        <w:t>Popko</w:t>
      </w:r>
      <w:proofErr w:type="spellEnd"/>
      <w:r w:rsidRPr="00575C45">
        <w:t xml:space="preserve"> says.</w:t>
      </w:r>
    </w:p>
    <w:p w:rsidR="00575C45" w:rsidRPr="00575C45" w:rsidRDefault="00575C45" w:rsidP="00575C45">
      <w:r w:rsidRPr="00575C45">
        <w:t>Still, SIOs are uniquely positioned to advocate for students’ need for a rich international experience.</w:t>
      </w:r>
    </w:p>
    <w:p w:rsidR="00575C45" w:rsidRPr="00575C45" w:rsidRDefault="00575C45" w:rsidP="00575C45">
      <w:r w:rsidRPr="00575C45">
        <w:t xml:space="preserve">“It’s incredibly important to think about creating a balance between compliance and a student-facing, resource-driven approach,” says </w:t>
      </w:r>
      <w:proofErr w:type="spellStart"/>
      <w:r w:rsidRPr="00575C45">
        <w:t>Bordeau</w:t>
      </w:r>
      <w:proofErr w:type="spellEnd"/>
      <w:r w:rsidRPr="00575C45">
        <w:t>. “There’s where the international risk management question lives. If SIOs are thinking about a global engagement strategy, they need to assess which parts need to be student-facing and what that means for their institution.”</w:t>
      </w:r>
    </w:p>
    <w:p w:rsidR="00575C45" w:rsidRPr="00575C45" w:rsidRDefault="00575C45" w:rsidP="00575C45">
      <w:r w:rsidRPr="00575C45">
        <w:t xml:space="preserve">Risk tolerance and appetite vary from institution to institution, and the profile of the student body can affect both. “If you have an institution where a lot of students may not have done a lot of travel, you may take a more conservative risk approach than an institution that has students with more travel experience,” says </w:t>
      </w:r>
      <w:proofErr w:type="spellStart"/>
      <w:r w:rsidRPr="00575C45">
        <w:t>Matherly</w:t>
      </w:r>
      <w:proofErr w:type="spellEnd"/>
      <w:r w:rsidRPr="00575C45">
        <w:t>.</w:t>
      </w:r>
    </w:p>
    <w:p w:rsidR="00575C45" w:rsidRPr="00575C45" w:rsidRDefault="00575C45" w:rsidP="00575C45">
      <w:r w:rsidRPr="00575C45">
        <w:t>While financial, legal, and academic considerations are all part of risk management, one consideration cuts across all departments: reputational risk.</w:t>
      </w:r>
    </w:p>
    <w:p w:rsidR="00575C45" w:rsidRPr="00575C45" w:rsidRDefault="00575C45" w:rsidP="00575C45">
      <w:r w:rsidRPr="00575C45">
        <w:t>“If you have a study abroad program with bad outcomes, when students are thinking about where to go for study abroad, they are going to look elsewhere,” says Holland. In addition to the harm that any students may have suffered, reputational damage hurts the entire university.</w:t>
      </w:r>
    </w:p>
    <w:p w:rsidR="00575C45" w:rsidRPr="00575C45" w:rsidRDefault="00575C45" w:rsidP="00575C45">
      <w:r w:rsidRPr="00575C45">
        <w:t xml:space="preserve">No policy on risk is going to be clear on every detail. “Be comfortable with ambiguity,” Baker advises. </w:t>
      </w:r>
      <w:proofErr w:type="spellStart"/>
      <w:r w:rsidRPr="00575C45">
        <w:t>Popko</w:t>
      </w:r>
      <w:proofErr w:type="spellEnd"/>
      <w:r w:rsidRPr="00575C45">
        <w:t xml:space="preserve"> recommends revisiting the conversation about risk with leadership after major real-life challenges.</w:t>
      </w:r>
    </w:p>
    <w:p w:rsidR="00575C45" w:rsidRPr="00575C45" w:rsidRDefault="00575C45" w:rsidP="00575C45">
      <w:pPr>
        <w:rPr>
          <w:b/>
          <w:bCs/>
        </w:rPr>
      </w:pPr>
      <w:r w:rsidRPr="00575C45">
        <w:rPr>
          <w:b/>
          <w:bCs/>
        </w:rPr>
        <w:t>Measuring and Sharing Risk </w:t>
      </w:r>
    </w:p>
    <w:p w:rsidR="00575C45" w:rsidRPr="00575C45" w:rsidRDefault="00575C45" w:rsidP="00575C45">
      <w:r w:rsidRPr="00575C45">
        <w:lastRenderedPageBreak/>
        <w:t xml:space="preserve">SIOs should also keep in mind that third-party vendors not only help with programs but also contribute a risk. “The risk becomes very shared and the exposure is very much shared,” </w:t>
      </w:r>
      <w:proofErr w:type="spellStart"/>
      <w:r w:rsidRPr="00575C45">
        <w:t>Bordeau</w:t>
      </w:r>
      <w:proofErr w:type="spellEnd"/>
      <w:r w:rsidRPr="00575C45">
        <w:t xml:space="preserve"> says of partnerships with vendors.</w:t>
      </w:r>
    </w:p>
    <w:p w:rsidR="00575C45" w:rsidRPr="00575C45" w:rsidRDefault="00575C45" w:rsidP="00575C45">
      <w:r w:rsidRPr="00575C45">
        <w:t>In deciding how to measure risk, many institutions rely on the same set of resources: the U.S. Department of State, the Centers for Disease Control and Prevention, the World Health Organization, and analyses from insurers. These resources are supplemented with others unique to the institution. For example, Santa Clara relies on its network of 27 Jesuit institutions for additional benchmarks.</w:t>
      </w:r>
    </w:p>
    <w:p w:rsidR="00575C45" w:rsidRPr="00575C45" w:rsidRDefault="00575C45" w:rsidP="00575C45">
      <w:r w:rsidRPr="00575C45">
        <w:t>Increasingly, institutions are considering specialized positions that focus entirely on international risk management.</w:t>
      </w:r>
    </w:p>
    <w:p w:rsidR="00575C45" w:rsidRPr="00575C45" w:rsidRDefault="00575C45" w:rsidP="00575C45">
      <w:r w:rsidRPr="00575C45">
        <w:t xml:space="preserve">“A lot of SIOs don’t have this background, and I know from talking to them the tension it creates when they suddenly feel that the health and safety of students are thrust upon them,” </w:t>
      </w:r>
      <w:proofErr w:type="spellStart"/>
      <w:r w:rsidRPr="00575C45">
        <w:t>Bordeau</w:t>
      </w:r>
      <w:proofErr w:type="spellEnd"/>
      <w:r w:rsidRPr="00575C45">
        <w:t xml:space="preserve"> says. “They are our visionaries. This is not necessarily where their strengths lie.”</w:t>
      </w:r>
    </w:p>
    <w:p w:rsidR="00575C45" w:rsidRPr="00575C45" w:rsidRDefault="00575C45" w:rsidP="00575C45">
      <w:pPr>
        <w:rPr>
          <w:b/>
          <w:bCs/>
        </w:rPr>
      </w:pPr>
      <w:r w:rsidRPr="00575C45">
        <w:rPr>
          <w:b/>
          <w:bCs/>
        </w:rPr>
        <w:t xml:space="preserve">“We have a unique opportunity in international education to think about how we want to frame our approach going forward, while many of us are in this place of reflection.” —Andrea </w:t>
      </w:r>
      <w:proofErr w:type="spellStart"/>
      <w:r w:rsidRPr="00575C45">
        <w:rPr>
          <w:b/>
          <w:bCs/>
        </w:rPr>
        <w:t>Bordeau</w:t>
      </w:r>
      <w:proofErr w:type="spellEnd"/>
    </w:p>
    <w:p w:rsidR="00575C45" w:rsidRPr="00575C45" w:rsidRDefault="00575C45" w:rsidP="00575C45">
      <w:proofErr w:type="spellStart"/>
      <w:r w:rsidRPr="00575C45">
        <w:t>Bordeau</w:t>
      </w:r>
      <w:proofErr w:type="spellEnd"/>
      <w:r w:rsidRPr="00575C45">
        <w:t xml:space="preserve"> says that dedicated positions, which can run from the entry level to leadership, allow for a deeper dive on potentially difficult challenges, such as mental health issues. “Being able to have that student-facing risk role really makes a big difference,” she maintains. “Many SIOs don’t have the time and bandwidth to dedicate to that level.”</w:t>
      </w:r>
    </w:p>
    <w:p w:rsidR="00575C45" w:rsidRPr="00575C45" w:rsidRDefault="00575C45" w:rsidP="00575C45">
      <w:r w:rsidRPr="00575C45">
        <w:t>At the same time, because most overseas programs have been canceled, the pandemic offers SIOs a break from the usual routine.</w:t>
      </w:r>
    </w:p>
    <w:p w:rsidR="00575C45" w:rsidRPr="00575C45" w:rsidRDefault="00575C45" w:rsidP="00575C45">
      <w:r w:rsidRPr="00575C45">
        <w:t xml:space="preserve">“We have a unique opportunity in international education to think about how we want to frame our approach going forward, while many of us are in this place of reflection,” </w:t>
      </w:r>
      <w:proofErr w:type="spellStart"/>
      <w:r w:rsidRPr="00575C45">
        <w:t>Bordeau</w:t>
      </w:r>
      <w:proofErr w:type="spellEnd"/>
      <w:r w:rsidRPr="00575C45">
        <w:t xml:space="preserve"> says. “We don’t get a time when we don’t [have] hundreds or thousands of students out in the world, and we have it now. Take this opportunity to act.”  </w:t>
      </w:r>
    </w:p>
    <w:p w:rsidR="00575C45" w:rsidRPr="00575C45" w:rsidRDefault="00575C45" w:rsidP="00575C45">
      <w:pPr>
        <w:rPr>
          <w:b/>
          <w:bCs/>
        </w:rPr>
      </w:pPr>
      <w:r w:rsidRPr="00575C45">
        <w:rPr>
          <w:b/>
          <w:bCs/>
        </w:rPr>
        <w:t>NAFSA Resources</w:t>
      </w:r>
    </w:p>
    <w:p w:rsidR="00575C45" w:rsidRPr="00575C45" w:rsidRDefault="00575C45" w:rsidP="00575C45">
      <w:pPr>
        <w:numPr>
          <w:ilvl w:val="0"/>
          <w:numId w:val="1"/>
        </w:numPr>
      </w:pPr>
      <w:hyperlink r:id="rId9" w:history="1">
        <w:r w:rsidRPr="00575C45">
          <w:rPr>
            <w:rStyle w:val="Hyperlink"/>
            <w:i/>
            <w:iCs/>
          </w:rPr>
          <w:t>Senior International Officers: Roles and Responsibilities</w:t>
        </w:r>
      </w:hyperlink>
      <w:r w:rsidRPr="00575C45">
        <w:t>, “International Risk Management and Crisis Communication” chapter</w:t>
      </w:r>
    </w:p>
    <w:p w:rsidR="00066565" w:rsidRDefault="00066565">
      <w:bookmarkStart w:id="0" w:name="_GoBack"/>
      <w:bookmarkEnd w:id="0"/>
    </w:p>
    <w:sectPr w:rsidR="00066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6890"/>
    <w:multiLevelType w:val="multilevel"/>
    <w:tmpl w:val="61F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5"/>
    <w:rsid w:val="00066565"/>
    <w:rsid w:val="0057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3B9A3-75D5-4E66-BD98-B0AF15A3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C45"/>
    <w:rPr>
      <w:color w:val="0563C1" w:themeColor="hyperlink"/>
      <w:u w:val="single"/>
    </w:rPr>
  </w:style>
  <w:style w:type="character" w:styleId="UnresolvedMention">
    <w:name w:val="Unresolved Mention"/>
    <w:basedOn w:val="DefaultParagraphFont"/>
    <w:uiPriority w:val="99"/>
    <w:semiHidden/>
    <w:unhideWhenUsed/>
    <w:rsid w:val="0057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89593943">
          <w:marLeft w:val="0"/>
          <w:marRight w:val="0"/>
          <w:marTop w:val="0"/>
          <w:marBottom w:val="450"/>
          <w:divBdr>
            <w:top w:val="none" w:sz="0" w:space="0" w:color="auto"/>
            <w:left w:val="none" w:sz="0" w:space="0" w:color="auto"/>
            <w:bottom w:val="none" w:sz="0" w:space="0" w:color="auto"/>
            <w:right w:val="none" w:sz="0" w:space="0" w:color="auto"/>
          </w:divBdr>
        </w:div>
        <w:div w:id="555703826">
          <w:marLeft w:val="0"/>
          <w:marRight w:val="0"/>
          <w:marTop w:val="0"/>
          <w:marBottom w:val="0"/>
          <w:divBdr>
            <w:top w:val="none" w:sz="0" w:space="0" w:color="auto"/>
            <w:left w:val="none" w:sz="0" w:space="0" w:color="auto"/>
            <w:bottom w:val="none" w:sz="0" w:space="0" w:color="auto"/>
            <w:right w:val="none" w:sz="0" w:space="0" w:color="auto"/>
          </w:divBdr>
          <w:divsChild>
            <w:div w:id="1298416846">
              <w:marLeft w:val="0"/>
              <w:marRight w:val="0"/>
              <w:marTop w:val="0"/>
              <w:marBottom w:val="0"/>
              <w:divBdr>
                <w:top w:val="none" w:sz="0" w:space="0" w:color="auto"/>
                <w:left w:val="none" w:sz="0" w:space="0" w:color="auto"/>
                <w:bottom w:val="none" w:sz="0" w:space="0" w:color="auto"/>
                <w:right w:val="none" w:sz="0" w:space="0" w:color="auto"/>
              </w:divBdr>
            </w:div>
          </w:divsChild>
        </w:div>
        <w:div w:id="156501856">
          <w:marLeft w:val="0"/>
          <w:marRight w:val="0"/>
          <w:marTop w:val="0"/>
          <w:marBottom w:val="225"/>
          <w:divBdr>
            <w:top w:val="none" w:sz="0" w:space="0" w:color="auto"/>
            <w:left w:val="none" w:sz="0" w:space="0" w:color="auto"/>
            <w:bottom w:val="single" w:sz="12" w:space="11" w:color="E0E1E3"/>
            <w:right w:val="none" w:sz="0" w:space="0" w:color="auto"/>
          </w:divBdr>
        </w:div>
        <w:div w:id="1287471909">
          <w:marLeft w:val="1725"/>
          <w:marRight w:val="1725"/>
          <w:marTop w:val="525"/>
          <w:marBottom w:val="0"/>
          <w:divBdr>
            <w:top w:val="none" w:sz="0" w:space="0" w:color="auto"/>
            <w:left w:val="none" w:sz="0" w:space="0" w:color="auto"/>
            <w:bottom w:val="none" w:sz="0" w:space="0" w:color="auto"/>
            <w:right w:val="none" w:sz="0" w:space="0" w:color="auto"/>
          </w:divBdr>
          <w:divsChild>
            <w:div w:id="51656554">
              <w:marLeft w:val="0"/>
              <w:marRight w:val="0"/>
              <w:marTop w:val="0"/>
              <w:marBottom w:val="75"/>
              <w:divBdr>
                <w:top w:val="none" w:sz="0" w:space="0" w:color="auto"/>
                <w:left w:val="none" w:sz="0" w:space="0" w:color="auto"/>
                <w:bottom w:val="none" w:sz="0" w:space="0" w:color="auto"/>
                <w:right w:val="none" w:sz="0" w:space="0" w:color="auto"/>
              </w:divBdr>
              <w:divsChild>
                <w:div w:id="1858081666">
                  <w:marLeft w:val="0"/>
                  <w:marRight w:val="0"/>
                  <w:marTop w:val="0"/>
                  <w:marBottom w:val="0"/>
                  <w:divBdr>
                    <w:top w:val="none" w:sz="0" w:space="0" w:color="auto"/>
                    <w:left w:val="none" w:sz="0" w:space="0" w:color="auto"/>
                    <w:bottom w:val="none" w:sz="0" w:space="0" w:color="auto"/>
                    <w:right w:val="none" w:sz="0" w:space="0" w:color="auto"/>
                  </w:divBdr>
                </w:div>
              </w:divsChild>
            </w:div>
            <w:div w:id="26684957">
              <w:marLeft w:val="0"/>
              <w:marRight w:val="0"/>
              <w:marTop w:val="0"/>
              <w:marBottom w:val="75"/>
              <w:divBdr>
                <w:top w:val="none" w:sz="0" w:space="0" w:color="auto"/>
                <w:left w:val="none" w:sz="0" w:space="0" w:color="auto"/>
                <w:bottom w:val="none" w:sz="0" w:space="0" w:color="auto"/>
                <w:right w:val="none" w:sz="0" w:space="0" w:color="auto"/>
              </w:divBdr>
            </w:div>
            <w:div w:id="1741174055">
              <w:marLeft w:val="0"/>
              <w:marRight w:val="0"/>
              <w:marTop w:val="0"/>
              <w:marBottom w:val="0"/>
              <w:divBdr>
                <w:top w:val="none" w:sz="0" w:space="0" w:color="auto"/>
                <w:left w:val="none" w:sz="0" w:space="0" w:color="auto"/>
                <w:bottom w:val="none" w:sz="0" w:space="0" w:color="auto"/>
                <w:right w:val="none" w:sz="0" w:space="0" w:color="auto"/>
              </w:divBdr>
              <w:divsChild>
                <w:div w:id="2127115777">
                  <w:marLeft w:val="0"/>
                  <w:marRight w:val="0"/>
                  <w:marTop w:val="0"/>
                  <w:marBottom w:val="0"/>
                  <w:divBdr>
                    <w:top w:val="none" w:sz="0" w:space="0" w:color="auto"/>
                    <w:left w:val="none" w:sz="0" w:space="0" w:color="auto"/>
                    <w:bottom w:val="none" w:sz="0" w:space="0" w:color="auto"/>
                    <w:right w:val="none" w:sz="0" w:space="0" w:color="auto"/>
                  </w:divBdr>
                  <w:divsChild>
                    <w:div w:id="696009395">
                      <w:blockQuote w:val="1"/>
                      <w:marLeft w:val="0"/>
                      <w:marRight w:val="0"/>
                      <w:marTop w:val="0"/>
                      <w:marBottom w:val="900"/>
                      <w:divBdr>
                        <w:top w:val="none" w:sz="0" w:space="0" w:color="auto"/>
                        <w:left w:val="single" w:sz="48" w:space="11" w:color="E0E1E3"/>
                        <w:bottom w:val="none" w:sz="0" w:space="0" w:color="auto"/>
                        <w:right w:val="none" w:sz="0" w:space="0" w:color="auto"/>
                      </w:divBdr>
                    </w:div>
                    <w:div w:id="1814981277">
                      <w:blockQuote w:val="1"/>
                      <w:marLeft w:val="0"/>
                      <w:marRight w:val="0"/>
                      <w:marTop w:val="0"/>
                      <w:marBottom w:val="900"/>
                      <w:divBdr>
                        <w:top w:val="none" w:sz="0" w:space="0" w:color="auto"/>
                        <w:left w:val="single" w:sz="48" w:space="11" w:color="E0E1E3"/>
                        <w:bottom w:val="none" w:sz="0" w:space="0" w:color="auto"/>
                        <w:right w:val="none" w:sz="0" w:space="0" w:color="auto"/>
                      </w:divBdr>
                    </w:div>
                    <w:div w:id="1021931452">
                      <w:blockQuote w:val="1"/>
                      <w:marLeft w:val="0"/>
                      <w:marRight w:val="0"/>
                      <w:marTop w:val="0"/>
                      <w:marBottom w:val="900"/>
                      <w:divBdr>
                        <w:top w:val="none" w:sz="0" w:space="0" w:color="auto"/>
                        <w:left w:val="single" w:sz="48" w:space="11" w:color="E0E1E3"/>
                        <w:bottom w:val="none" w:sz="0" w:space="0" w:color="auto"/>
                        <w:right w:val="none" w:sz="0" w:space="0" w:color="auto"/>
                      </w:divBdr>
                    </w:div>
                    <w:div w:id="803088150">
                      <w:blockQuote w:val="1"/>
                      <w:marLeft w:val="0"/>
                      <w:marRight w:val="0"/>
                      <w:marTop w:val="0"/>
                      <w:marBottom w:val="900"/>
                      <w:divBdr>
                        <w:top w:val="none" w:sz="0" w:space="0" w:color="auto"/>
                        <w:left w:val="single" w:sz="48" w:space="11" w:color="E0E1E3"/>
                        <w:bottom w:val="none" w:sz="0" w:space="0" w:color="auto"/>
                        <w:right w:val="none" w:sz="0" w:space="0" w:color="auto"/>
                      </w:divBdr>
                    </w:div>
                  </w:divsChild>
                </w:div>
              </w:divsChild>
            </w:div>
            <w:div w:id="2957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nafsa.org/detail.aspx?id=2090" TargetMode="External"/><Relationship Id="rId3" Type="http://schemas.openxmlformats.org/officeDocument/2006/relationships/settings" Target="settings.xml"/><Relationship Id="rId7" Type="http://schemas.openxmlformats.org/officeDocument/2006/relationships/hyperlink" Target="https://www.nafsa.org/people/john-gallag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op.nafsa.org/detail.aspx?id=2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Hambleton</dc:creator>
  <cp:keywords/>
  <dc:description/>
  <cp:lastModifiedBy>Rebecca Hambleton</cp:lastModifiedBy>
  <cp:revision>2</cp:revision>
  <dcterms:created xsi:type="dcterms:W3CDTF">2021-04-05T16:51:00Z</dcterms:created>
  <dcterms:modified xsi:type="dcterms:W3CDTF">2021-04-05T16:51:00Z</dcterms:modified>
</cp:coreProperties>
</file>