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CB" w:rsidRPr="00CD33CB" w:rsidRDefault="00F500CB" w:rsidP="00F500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ESSCA </w:t>
      </w:r>
      <w:r w:rsidR="00C66E59">
        <w:rPr>
          <w:sz w:val="36"/>
          <w:szCs w:val="36"/>
        </w:rPr>
        <w:t>Paris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CD33CB">
        <w:rPr>
          <w:sz w:val="36"/>
          <w:szCs w:val="36"/>
        </w:rPr>
        <w:t>Application and Acceptance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500CB" w:rsidTr="002B50DE">
        <w:trPr>
          <w:trHeight w:val="683"/>
        </w:trPr>
        <w:tc>
          <w:tcPr>
            <w:tcW w:w="3118" w:type="dxa"/>
          </w:tcPr>
          <w:p w:rsidR="00F500CB" w:rsidRDefault="00F500CB" w:rsidP="002B50DE">
            <w:pPr>
              <w:jc w:val="center"/>
            </w:pPr>
          </w:p>
        </w:tc>
        <w:tc>
          <w:tcPr>
            <w:tcW w:w="3118" w:type="dxa"/>
          </w:tcPr>
          <w:p w:rsidR="00F500CB" w:rsidRPr="00CD33CB" w:rsidRDefault="00F500CB" w:rsidP="002B50DE">
            <w:pPr>
              <w:jc w:val="center"/>
              <w:rPr>
                <w:b/>
              </w:rPr>
            </w:pPr>
            <w:r w:rsidRPr="00CD33CB">
              <w:rPr>
                <w:b/>
              </w:rPr>
              <w:t>Fall Semester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F500CB" w:rsidRPr="00CD33CB" w:rsidRDefault="00F500CB" w:rsidP="002B50DE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  <w:r>
              <w:rPr>
                <w:b/>
              </w:rPr>
              <w:t xml:space="preserve"> (UCO’s Spring Semester)</w:t>
            </w:r>
          </w:p>
        </w:tc>
      </w:tr>
      <w:tr w:rsidR="00F500CB" w:rsidTr="002B50DE">
        <w:trPr>
          <w:trHeight w:val="710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Deadline for COMPLETED Application: FEB. 1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Deadline for COMPLETED Application: SEPT 10</w:t>
            </w:r>
          </w:p>
        </w:tc>
      </w:tr>
      <w:tr w:rsidR="00F500CB" w:rsidTr="002B50DE">
        <w:trPr>
          <w:trHeight w:val="800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1-2 weeks after Feb. 1 deadline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1-2 weeks after Sept. 10 deadline</w:t>
            </w:r>
          </w:p>
        </w:tc>
      </w:tr>
      <w:tr w:rsidR="00F500CB" w:rsidTr="002B50DE">
        <w:trPr>
          <w:trHeight w:val="602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ESSCA Online Application Available. ESSCA will send instructions directly to student.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Mid-March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Late September</w:t>
            </w:r>
          </w:p>
        </w:tc>
      </w:tr>
      <w:tr w:rsidR="00F500CB" w:rsidTr="002B50DE">
        <w:trPr>
          <w:trHeight w:val="728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Select one session to attend from February to April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Select one session to attend from September to November</w:t>
            </w:r>
          </w:p>
        </w:tc>
      </w:tr>
      <w:tr w:rsidR="00F500CB" w:rsidTr="002B50DE">
        <w:trPr>
          <w:trHeight w:val="1385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ESSCA</w:t>
            </w:r>
            <w:r>
              <w:t xml:space="preserve"> sends email notification of acceptance to be followed by official acceptance letter by mail to GVSU 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April/May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October/November</w:t>
            </w:r>
          </w:p>
        </w:tc>
      </w:tr>
      <w:tr w:rsidR="00050573" w:rsidTr="002B50DE">
        <w:trPr>
          <w:trHeight w:val="1385"/>
        </w:trPr>
        <w:tc>
          <w:tcPr>
            <w:tcW w:w="3118" w:type="dxa"/>
            <w:vAlign w:val="center"/>
          </w:tcPr>
          <w:p w:rsidR="00050573" w:rsidRDefault="00050573" w:rsidP="002B50DE">
            <w:pPr>
              <w:jc w:val="center"/>
            </w:pPr>
            <w:r>
              <w:t>Apply for Accommodation Online through the ESSCA website</w:t>
            </w:r>
          </w:p>
        </w:tc>
        <w:tc>
          <w:tcPr>
            <w:tcW w:w="3118" w:type="dxa"/>
            <w:vAlign w:val="center"/>
          </w:tcPr>
          <w:p w:rsidR="00050573" w:rsidRDefault="00050573" w:rsidP="002B50DE">
            <w:pPr>
              <w:jc w:val="center"/>
            </w:pPr>
            <w:r>
              <w:t>April/May</w:t>
            </w:r>
          </w:p>
        </w:tc>
        <w:tc>
          <w:tcPr>
            <w:tcW w:w="3119" w:type="dxa"/>
            <w:vAlign w:val="center"/>
          </w:tcPr>
          <w:p w:rsidR="00050573" w:rsidRDefault="00050573" w:rsidP="002B50DE">
            <w:pPr>
              <w:jc w:val="center"/>
            </w:pPr>
            <w:r>
              <w:t>October</w:t>
            </w:r>
          </w:p>
        </w:tc>
      </w:tr>
      <w:tr w:rsidR="00F500CB" w:rsidTr="002B50DE">
        <w:trPr>
          <w:trHeight w:val="1520"/>
        </w:trPr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Student applies for student visa with offic</w:t>
            </w:r>
            <w:r>
              <w:t>ial acceptance letter from ESSCA</w:t>
            </w:r>
            <w:r>
              <w:t xml:space="preserve"> (visa applications </w:t>
            </w:r>
            <w:proofErr w:type="gramStart"/>
            <w:r>
              <w:t>can only be submitted</w:t>
            </w:r>
            <w:proofErr w:type="gramEnd"/>
            <w:r>
              <w:t xml:space="preserve"> within 90 days of program start date). Visas only required for students studying longer than 90 days in France.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June/July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November/December</w:t>
            </w:r>
          </w:p>
        </w:tc>
      </w:tr>
      <w:tr w:rsidR="00F500CB" w:rsidTr="002B50DE">
        <w:trPr>
          <w:trHeight w:val="890"/>
        </w:trPr>
        <w:tc>
          <w:tcPr>
            <w:tcW w:w="3118" w:type="dxa"/>
            <w:vAlign w:val="center"/>
          </w:tcPr>
          <w:p w:rsidR="00F500CB" w:rsidRPr="0045724A" w:rsidRDefault="00F500CB" w:rsidP="002B50DE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Mid-December</w:t>
            </w:r>
          </w:p>
        </w:tc>
      </w:tr>
      <w:tr w:rsidR="00F500CB" w:rsidTr="002B50DE">
        <w:trPr>
          <w:trHeight w:val="458"/>
        </w:trPr>
        <w:tc>
          <w:tcPr>
            <w:tcW w:w="3118" w:type="dxa"/>
            <w:vAlign w:val="center"/>
          </w:tcPr>
          <w:p w:rsidR="00F500CB" w:rsidRPr="0045724A" w:rsidRDefault="00F500CB" w:rsidP="002B50DE">
            <w:pPr>
              <w:jc w:val="center"/>
            </w:pPr>
            <w:r>
              <w:t>Travel to France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Mid-January</w:t>
            </w:r>
          </w:p>
        </w:tc>
      </w:tr>
      <w:tr w:rsidR="00F500CB" w:rsidTr="002B50DE">
        <w:trPr>
          <w:trHeight w:val="458"/>
        </w:trPr>
        <w:tc>
          <w:tcPr>
            <w:tcW w:w="3118" w:type="dxa"/>
            <w:vAlign w:val="center"/>
          </w:tcPr>
          <w:p w:rsidR="00F500CB" w:rsidRPr="0045724A" w:rsidRDefault="00F500CB" w:rsidP="002B50DE">
            <w:pPr>
              <w:jc w:val="center"/>
            </w:pPr>
            <w:r>
              <w:t>Return to US</w:t>
            </w:r>
          </w:p>
        </w:tc>
        <w:tc>
          <w:tcPr>
            <w:tcW w:w="3118" w:type="dxa"/>
            <w:vAlign w:val="center"/>
          </w:tcPr>
          <w:p w:rsidR="00F500CB" w:rsidRDefault="00050573" w:rsidP="002B50DE">
            <w:pPr>
              <w:jc w:val="center"/>
            </w:pPr>
            <w:r>
              <w:t>Late December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Late May</w:t>
            </w:r>
          </w:p>
        </w:tc>
      </w:tr>
      <w:tr w:rsidR="00F500CB" w:rsidTr="002B50DE">
        <w:trPr>
          <w:trHeight w:val="458"/>
        </w:trPr>
        <w:tc>
          <w:tcPr>
            <w:tcW w:w="3118" w:type="dxa"/>
            <w:vAlign w:val="center"/>
          </w:tcPr>
          <w:p w:rsidR="00F500CB" w:rsidRPr="0045724A" w:rsidRDefault="00050573" w:rsidP="002B50DE">
            <w:pPr>
              <w:jc w:val="center"/>
            </w:pPr>
            <w:r>
              <w:t>ESSCA</w:t>
            </w:r>
            <w:r w:rsidR="00F500CB" w:rsidRPr="0045724A">
              <w:t xml:space="preserve"> sends transcript to GVSU</w:t>
            </w:r>
          </w:p>
        </w:tc>
        <w:tc>
          <w:tcPr>
            <w:tcW w:w="3118" w:type="dxa"/>
            <w:vAlign w:val="center"/>
          </w:tcPr>
          <w:p w:rsidR="00F500CB" w:rsidRDefault="00F500CB" w:rsidP="002B50DE">
            <w:pPr>
              <w:jc w:val="center"/>
            </w:pPr>
            <w:r>
              <w:t>March</w:t>
            </w:r>
          </w:p>
        </w:tc>
        <w:tc>
          <w:tcPr>
            <w:tcW w:w="3119" w:type="dxa"/>
            <w:vAlign w:val="center"/>
          </w:tcPr>
          <w:p w:rsidR="00F500CB" w:rsidRDefault="00F500CB" w:rsidP="002B50DE">
            <w:pPr>
              <w:jc w:val="center"/>
            </w:pPr>
            <w:r>
              <w:t>September</w:t>
            </w:r>
          </w:p>
        </w:tc>
      </w:tr>
    </w:tbl>
    <w:p w:rsidR="009A0541" w:rsidRDefault="00C66E59"/>
    <w:sectPr w:rsidR="009A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CB"/>
    <w:rsid w:val="00050573"/>
    <w:rsid w:val="000654E9"/>
    <w:rsid w:val="00B9543A"/>
    <w:rsid w:val="00C66E59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01E"/>
  <w15:chartTrackingRefBased/>
  <w15:docId w15:val="{33060284-0CA3-4C4C-8F8B-994EEC7D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Kuzekov</dc:creator>
  <cp:keywords/>
  <dc:description/>
  <cp:lastModifiedBy>Ehren Kuzekov</cp:lastModifiedBy>
  <cp:revision>2</cp:revision>
  <dcterms:created xsi:type="dcterms:W3CDTF">2018-05-14T18:24:00Z</dcterms:created>
  <dcterms:modified xsi:type="dcterms:W3CDTF">2018-05-14T18:24:00Z</dcterms:modified>
</cp:coreProperties>
</file>