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1C" w:rsidRPr="00C9228B" w:rsidRDefault="00EA5DEB">
      <w:pPr>
        <w:rPr>
          <w:b/>
          <w:sz w:val="18"/>
          <w:szCs w:val="20"/>
        </w:rPr>
      </w:pPr>
      <w:bookmarkStart w:id="0" w:name="_GoBack"/>
      <w:bookmarkEnd w:id="0"/>
      <w:r w:rsidRPr="00C9228B">
        <w:rPr>
          <w:b/>
          <w:sz w:val="18"/>
          <w:szCs w:val="20"/>
        </w:rPr>
        <w:t>Notes on the predictive/</w:t>
      </w:r>
      <w:r w:rsidR="004C33EE" w:rsidRPr="00C9228B">
        <w:rPr>
          <w:b/>
          <w:sz w:val="18"/>
          <w:szCs w:val="20"/>
        </w:rPr>
        <w:t>explanatory value o</w:t>
      </w:r>
      <w:r w:rsidRPr="00C9228B">
        <w:rPr>
          <w:b/>
          <w:sz w:val="18"/>
          <w:szCs w:val="20"/>
        </w:rPr>
        <w:t>f BCSSE 2015 scales:</w:t>
      </w:r>
      <w:r w:rsidR="00820E18" w:rsidRPr="00C9228B">
        <w:rPr>
          <w:b/>
          <w:sz w:val="18"/>
          <w:szCs w:val="20"/>
        </w:rPr>
        <w:tab/>
      </w:r>
      <w:r w:rsidR="00820E18" w:rsidRPr="00C9228B">
        <w:rPr>
          <w:b/>
          <w:sz w:val="18"/>
          <w:szCs w:val="20"/>
        </w:rPr>
        <w:tab/>
      </w:r>
      <w:r w:rsidR="00820E18" w:rsidRPr="00C9228B">
        <w:rPr>
          <w:b/>
          <w:sz w:val="18"/>
          <w:szCs w:val="20"/>
        </w:rPr>
        <w:tab/>
      </w:r>
      <w:r w:rsidR="00C9228B">
        <w:rPr>
          <w:b/>
          <w:sz w:val="18"/>
          <w:szCs w:val="20"/>
        </w:rPr>
        <w:tab/>
      </w:r>
      <w:r w:rsidR="00820E18" w:rsidRPr="00C9228B">
        <w:rPr>
          <w:sz w:val="18"/>
          <w:szCs w:val="20"/>
        </w:rPr>
        <w:t>Philip Batty</w:t>
      </w:r>
      <w:r w:rsidR="00820E18" w:rsidRPr="00C9228B">
        <w:rPr>
          <w:sz w:val="18"/>
          <w:szCs w:val="20"/>
        </w:rPr>
        <w:br/>
      </w:r>
      <w:r w:rsidR="00820E18" w:rsidRPr="00C9228B">
        <w:rPr>
          <w:sz w:val="18"/>
          <w:szCs w:val="20"/>
        </w:rPr>
        <w:tab/>
      </w:r>
      <w:r w:rsidR="00820E18" w:rsidRPr="00C9228B">
        <w:rPr>
          <w:sz w:val="18"/>
          <w:szCs w:val="20"/>
        </w:rPr>
        <w:tab/>
      </w:r>
      <w:r w:rsidR="00820E18" w:rsidRPr="00C9228B">
        <w:rPr>
          <w:sz w:val="18"/>
          <w:szCs w:val="20"/>
        </w:rPr>
        <w:tab/>
      </w:r>
      <w:r w:rsidR="00820E18" w:rsidRPr="00C9228B">
        <w:rPr>
          <w:sz w:val="18"/>
          <w:szCs w:val="20"/>
        </w:rPr>
        <w:tab/>
      </w:r>
      <w:r w:rsidR="00820E18" w:rsidRPr="00C9228B">
        <w:rPr>
          <w:sz w:val="18"/>
          <w:szCs w:val="20"/>
        </w:rPr>
        <w:tab/>
      </w:r>
      <w:r w:rsidR="00820E18" w:rsidRPr="00C9228B">
        <w:rPr>
          <w:sz w:val="18"/>
          <w:szCs w:val="20"/>
        </w:rPr>
        <w:tab/>
      </w:r>
      <w:r w:rsidR="00820E18" w:rsidRPr="00C9228B">
        <w:rPr>
          <w:sz w:val="18"/>
          <w:szCs w:val="20"/>
        </w:rPr>
        <w:tab/>
      </w:r>
      <w:r w:rsidR="00820E18" w:rsidRPr="00C9228B">
        <w:rPr>
          <w:sz w:val="18"/>
          <w:szCs w:val="20"/>
        </w:rPr>
        <w:tab/>
      </w:r>
      <w:r w:rsidR="00820E18" w:rsidRPr="00C9228B">
        <w:rPr>
          <w:sz w:val="18"/>
          <w:szCs w:val="20"/>
        </w:rPr>
        <w:tab/>
      </w:r>
      <w:r w:rsidR="00820E18" w:rsidRPr="00C9228B">
        <w:rPr>
          <w:sz w:val="18"/>
          <w:szCs w:val="20"/>
        </w:rPr>
        <w:tab/>
        <w:t>Institutional Analysis</w:t>
      </w:r>
    </w:p>
    <w:p w:rsidR="00EA5DEB" w:rsidRPr="00C9228B" w:rsidRDefault="00EA5DEB">
      <w:pPr>
        <w:rPr>
          <w:sz w:val="18"/>
          <w:szCs w:val="20"/>
        </w:rPr>
      </w:pPr>
      <w:r w:rsidRPr="00C9228B">
        <w:rPr>
          <w:sz w:val="18"/>
          <w:szCs w:val="20"/>
        </w:rPr>
        <w:t>Following are findings regarding associations between BCSSE scale scores for GVSU participants and subsequent indicators of engagement or success.</w:t>
      </w:r>
    </w:p>
    <w:p w:rsidR="0015055B" w:rsidRPr="00C9228B" w:rsidRDefault="0015055B" w:rsidP="0015055B">
      <w:pPr>
        <w:rPr>
          <w:b/>
          <w:sz w:val="18"/>
          <w:szCs w:val="20"/>
        </w:rPr>
      </w:pPr>
      <w:r w:rsidRPr="00C9228B">
        <w:rPr>
          <w:b/>
          <w:sz w:val="18"/>
          <w:szCs w:val="20"/>
        </w:rPr>
        <w:t>Association with First Year Outcomes:</w:t>
      </w:r>
    </w:p>
    <w:p w:rsidR="00DB2FB8" w:rsidRPr="00C9228B" w:rsidRDefault="0015055B" w:rsidP="0015055B">
      <w:pPr>
        <w:rPr>
          <w:sz w:val="18"/>
          <w:szCs w:val="20"/>
        </w:rPr>
      </w:pPr>
      <w:r w:rsidRPr="00C9228B">
        <w:rPr>
          <w:sz w:val="18"/>
          <w:szCs w:val="20"/>
        </w:rPr>
        <w:t xml:space="preserve">There were 2,420 students who took the 2015 BCSSE </w:t>
      </w:r>
      <w:proofErr w:type="gramStart"/>
      <w:r w:rsidRPr="00C9228B">
        <w:rPr>
          <w:sz w:val="18"/>
          <w:szCs w:val="20"/>
        </w:rPr>
        <w:t>and also</w:t>
      </w:r>
      <w:proofErr w:type="gramEnd"/>
      <w:r w:rsidRPr="00C9228B">
        <w:rPr>
          <w:sz w:val="18"/>
          <w:szCs w:val="20"/>
        </w:rPr>
        <w:t xml:space="preserve"> earned grades at GVSU in 2015-16.</w:t>
      </w:r>
      <w:r w:rsidR="00DB2FB8" w:rsidRPr="00C9228B">
        <w:rPr>
          <w:sz w:val="18"/>
          <w:szCs w:val="20"/>
        </w:rPr>
        <w:t xml:space="preserve">  In spite of that bountiful sample, few of the BCSSE scale scores </w:t>
      </w:r>
      <w:proofErr w:type="gramStart"/>
      <w:r w:rsidR="00DB2FB8" w:rsidRPr="00C9228B">
        <w:rPr>
          <w:sz w:val="18"/>
          <w:szCs w:val="20"/>
        </w:rPr>
        <w:t>are significantly related</w:t>
      </w:r>
      <w:proofErr w:type="gramEnd"/>
      <w:r w:rsidR="00DB2FB8" w:rsidRPr="00C9228B">
        <w:rPr>
          <w:sz w:val="18"/>
          <w:szCs w:val="20"/>
        </w:rPr>
        <w:t xml:space="preserve"> to GVSU grades, and those correlations that do achieve significance are extremely weak.  Most notably, there is no significant correlation between the “Perceived Academic Preparation” scale and first semester grades (r=0.03; </w:t>
      </w:r>
      <w:proofErr w:type="spellStart"/>
      <w:r w:rsidR="00DB2FB8" w:rsidRPr="00C9228B">
        <w:rPr>
          <w:sz w:val="18"/>
          <w:szCs w:val="20"/>
        </w:rPr>
        <w:t>p</w:t>
      </w:r>
      <w:r w:rsidR="00DB2FB8" w:rsidRPr="00C9228B">
        <w:rPr>
          <w:sz w:val="18"/>
          <w:szCs w:val="20"/>
          <w:vertAlign w:val="subscript"/>
        </w:rPr>
        <w:t>r</w:t>
      </w:r>
      <w:proofErr w:type="spellEnd"/>
      <w:r w:rsidR="00DB2FB8" w:rsidRPr="00C9228B">
        <w:rPr>
          <w:sz w:val="18"/>
          <w:szCs w:val="20"/>
        </w:rPr>
        <w:t xml:space="preserve">=0.157), and only a </w:t>
      </w:r>
      <w:r w:rsidR="00DB2FB8" w:rsidRPr="00C9228B">
        <w:rPr>
          <w:sz w:val="18"/>
          <w:szCs w:val="20"/>
          <w:u w:val="single"/>
        </w:rPr>
        <w:t>very</w:t>
      </w:r>
      <w:r w:rsidR="00DB2FB8" w:rsidRPr="00C9228B">
        <w:rPr>
          <w:sz w:val="18"/>
          <w:szCs w:val="20"/>
        </w:rPr>
        <w:t xml:space="preserve"> weak association with first year grades (r=0.05; </w:t>
      </w:r>
      <w:proofErr w:type="spellStart"/>
      <w:r w:rsidR="00DB2FB8" w:rsidRPr="00C9228B">
        <w:rPr>
          <w:sz w:val="18"/>
          <w:szCs w:val="20"/>
        </w:rPr>
        <w:t>p</w:t>
      </w:r>
      <w:r w:rsidR="00DB2FB8" w:rsidRPr="00C9228B">
        <w:rPr>
          <w:sz w:val="18"/>
          <w:szCs w:val="20"/>
          <w:vertAlign w:val="subscript"/>
        </w:rPr>
        <w:t>r</w:t>
      </w:r>
      <w:proofErr w:type="spellEnd"/>
      <w:r w:rsidR="00DB2FB8" w:rsidRPr="00C9228B">
        <w:rPr>
          <w:sz w:val="18"/>
          <w:szCs w:val="20"/>
        </w:rPr>
        <w:t>=0.018).</w:t>
      </w:r>
    </w:p>
    <w:p w:rsidR="00DB2FB8" w:rsidRPr="00C9228B" w:rsidRDefault="00DB2FB8" w:rsidP="0015055B">
      <w:pPr>
        <w:rPr>
          <w:sz w:val="18"/>
          <w:szCs w:val="20"/>
        </w:rPr>
      </w:pPr>
      <w:r w:rsidRPr="00C9228B">
        <w:rPr>
          <w:sz w:val="18"/>
          <w:szCs w:val="20"/>
        </w:rPr>
        <w:t xml:space="preserve">None of the BCSSE scales is </w:t>
      </w:r>
      <w:r w:rsidR="005A2744" w:rsidRPr="00C9228B">
        <w:rPr>
          <w:sz w:val="18"/>
          <w:szCs w:val="20"/>
        </w:rPr>
        <w:t xml:space="preserve">significantly </w:t>
      </w:r>
      <w:r w:rsidRPr="00C9228B">
        <w:rPr>
          <w:sz w:val="18"/>
          <w:szCs w:val="20"/>
        </w:rPr>
        <w:t>associated with first-year retention, including “Expected Academic Persever</w:t>
      </w:r>
      <w:r w:rsidR="005A2744" w:rsidRPr="00C9228B">
        <w:rPr>
          <w:sz w:val="18"/>
          <w:szCs w:val="20"/>
        </w:rPr>
        <w:t>a</w:t>
      </w:r>
      <w:r w:rsidRPr="00C9228B">
        <w:rPr>
          <w:sz w:val="18"/>
          <w:szCs w:val="20"/>
        </w:rPr>
        <w:t>nce” (</w:t>
      </w:r>
      <w:proofErr w:type="spellStart"/>
      <w:r w:rsidRPr="00C9228B">
        <w:rPr>
          <w:sz w:val="18"/>
          <w:szCs w:val="20"/>
        </w:rPr>
        <w:t>t</w:t>
      </w:r>
      <w:r w:rsidRPr="00C9228B">
        <w:rPr>
          <w:sz w:val="18"/>
          <w:szCs w:val="20"/>
          <w:vertAlign w:val="subscript"/>
        </w:rPr>
        <w:t>pooled</w:t>
      </w:r>
      <w:proofErr w:type="spellEnd"/>
      <w:r w:rsidRPr="00C9228B">
        <w:rPr>
          <w:sz w:val="18"/>
          <w:szCs w:val="20"/>
        </w:rPr>
        <w:t>=0.03</w:t>
      </w:r>
      <w:r w:rsidR="005A2744" w:rsidRPr="00C9228B">
        <w:rPr>
          <w:sz w:val="18"/>
          <w:szCs w:val="20"/>
        </w:rPr>
        <w:t xml:space="preserve">; </w:t>
      </w:r>
      <w:proofErr w:type="spellStart"/>
      <w:r w:rsidR="005A2744" w:rsidRPr="00C9228B">
        <w:rPr>
          <w:sz w:val="18"/>
          <w:szCs w:val="20"/>
        </w:rPr>
        <w:t>p</w:t>
      </w:r>
      <w:r w:rsidR="005A2744" w:rsidRPr="00C9228B">
        <w:rPr>
          <w:sz w:val="18"/>
          <w:szCs w:val="20"/>
          <w:vertAlign w:val="subscript"/>
        </w:rPr>
        <w:t>t</w:t>
      </w:r>
      <w:proofErr w:type="spellEnd"/>
      <w:r w:rsidR="005A2744" w:rsidRPr="00C9228B">
        <w:rPr>
          <w:sz w:val="18"/>
          <w:szCs w:val="20"/>
        </w:rPr>
        <w:t>=0.972).</w:t>
      </w:r>
    </w:p>
    <w:tbl>
      <w:tblPr>
        <w:tblStyle w:val="TableGrid"/>
        <w:tblW w:w="0" w:type="auto"/>
        <w:tblLook w:val="04A0" w:firstRow="1" w:lastRow="0" w:firstColumn="1" w:lastColumn="0" w:noHBand="0" w:noVBand="1"/>
      </w:tblPr>
      <w:tblGrid>
        <w:gridCol w:w="4773"/>
        <w:gridCol w:w="1133"/>
        <w:gridCol w:w="1133"/>
        <w:gridCol w:w="1197"/>
        <w:gridCol w:w="1114"/>
      </w:tblGrid>
      <w:tr w:rsidR="005A2744" w:rsidRPr="00C9228B" w:rsidTr="005A2744">
        <w:tc>
          <w:tcPr>
            <w:tcW w:w="4773" w:type="dxa"/>
          </w:tcPr>
          <w:p w:rsidR="00C37BE9" w:rsidRDefault="00C37BE9" w:rsidP="0015055B">
            <w:pPr>
              <w:rPr>
                <w:sz w:val="18"/>
                <w:szCs w:val="20"/>
              </w:rPr>
            </w:pPr>
          </w:p>
          <w:p w:rsidR="00C37BE9" w:rsidRDefault="00C37BE9" w:rsidP="0015055B">
            <w:pPr>
              <w:rPr>
                <w:sz w:val="18"/>
                <w:szCs w:val="20"/>
              </w:rPr>
            </w:pPr>
          </w:p>
          <w:p w:rsidR="005A2744" w:rsidRPr="00C9228B" w:rsidRDefault="005A2744" w:rsidP="0015055B">
            <w:pPr>
              <w:rPr>
                <w:sz w:val="18"/>
                <w:szCs w:val="20"/>
              </w:rPr>
            </w:pPr>
            <w:r w:rsidRPr="00C9228B">
              <w:rPr>
                <w:sz w:val="18"/>
                <w:szCs w:val="20"/>
              </w:rPr>
              <w:t>BCSSE Scale</w:t>
            </w:r>
          </w:p>
        </w:tc>
        <w:tc>
          <w:tcPr>
            <w:tcW w:w="1133" w:type="dxa"/>
          </w:tcPr>
          <w:p w:rsidR="005A2744" w:rsidRPr="00C9228B" w:rsidRDefault="005A2744" w:rsidP="0015055B">
            <w:pPr>
              <w:rPr>
                <w:sz w:val="18"/>
                <w:szCs w:val="20"/>
              </w:rPr>
            </w:pPr>
            <w:r w:rsidRPr="00C9228B">
              <w:rPr>
                <w:sz w:val="18"/>
                <w:szCs w:val="20"/>
              </w:rPr>
              <w:t xml:space="preserve">Correlation </w:t>
            </w:r>
          </w:p>
          <w:p w:rsidR="005A2744" w:rsidRPr="00C9228B" w:rsidRDefault="005A2744" w:rsidP="0015055B">
            <w:pPr>
              <w:rPr>
                <w:sz w:val="18"/>
                <w:szCs w:val="20"/>
              </w:rPr>
            </w:pPr>
            <w:r w:rsidRPr="00C9228B">
              <w:rPr>
                <w:sz w:val="18"/>
                <w:szCs w:val="20"/>
              </w:rPr>
              <w:t>with fall GPA</w:t>
            </w:r>
          </w:p>
        </w:tc>
        <w:tc>
          <w:tcPr>
            <w:tcW w:w="1133" w:type="dxa"/>
          </w:tcPr>
          <w:p w:rsidR="005A2744" w:rsidRPr="00C9228B" w:rsidRDefault="005A2744" w:rsidP="0015055B">
            <w:pPr>
              <w:rPr>
                <w:sz w:val="18"/>
                <w:szCs w:val="20"/>
              </w:rPr>
            </w:pPr>
            <w:r w:rsidRPr="00C9228B">
              <w:rPr>
                <w:sz w:val="18"/>
                <w:szCs w:val="20"/>
              </w:rPr>
              <w:t>Correlation</w:t>
            </w:r>
          </w:p>
          <w:p w:rsidR="005A2744" w:rsidRPr="00C9228B" w:rsidRDefault="005A2744" w:rsidP="0015055B">
            <w:pPr>
              <w:rPr>
                <w:sz w:val="18"/>
                <w:szCs w:val="20"/>
              </w:rPr>
            </w:pPr>
            <w:r w:rsidRPr="00C9228B">
              <w:rPr>
                <w:sz w:val="18"/>
                <w:szCs w:val="20"/>
              </w:rPr>
              <w:t>with year GPA</w:t>
            </w:r>
          </w:p>
        </w:tc>
        <w:tc>
          <w:tcPr>
            <w:tcW w:w="1197" w:type="dxa"/>
          </w:tcPr>
          <w:p w:rsidR="005A2744" w:rsidRPr="00C9228B" w:rsidRDefault="005A2744" w:rsidP="0015055B">
            <w:pPr>
              <w:rPr>
                <w:sz w:val="18"/>
                <w:szCs w:val="20"/>
              </w:rPr>
            </w:pPr>
            <w:r w:rsidRPr="00C9228B">
              <w:rPr>
                <w:sz w:val="18"/>
                <w:szCs w:val="20"/>
              </w:rPr>
              <w:t>Avg. score among retained</w:t>
            </w:r>
          </w:p>
        </w:tc>
        <w:tc>
          <w:tcPr>
            <w:tcW w:w="1114" w:type="dxa"/>
          </w:tcPr>
          <w:p w:rsidR="005A2744" w:rsidRPr="00C9228B" w:rsidRDefault="005A2744" w:rsidP="0015055B">
            <w:pPr>
              <w:rPr>
                <w:sz w:val="18"/>
                <w:szCs w:val="20"/>
              </w:rPr>
            </w:pPr>
            <w:r w:rsidRPr="00C9228B">
              <w:rPr>
                <w:sz w:val="18"/>
                <w:szCs w:val="20"/>
              </w:rPr>
              <w:t xml:space="preserve">Avg. score among </w:t>
            </w:r>
            <w:proofErr w:type="spellStart"/>
            <w:r w:rsidRPr="00C9228B">
              <w:rPr>
                <w:sz w:val="18"/>
                <w:szCs w:val="20"/>
              </w:rPr>
              <w:t>unretained</w:t>
            </w:r>
            <w:proofErr w:type="spellEnd"/>
          </w:p>
        </w:tc>
      </w:tr>
      <w:tr w:rsidR="005A2744" w:rsidRPr="00C9228B" w:rsidTr="00A80599">
        <w:tc>
          <w:tcPr>
            <w:tcW w:w="4773" w:type="dxa"/>
          </w:tcPr>
          <w:p w:rsidR="005A2744" w:rsidRPr="00C9228B" w:rsidRDefault="00F214CA" w:rsidP="0015055B">
            <w:pPr>
              <w:rPr>
                <w:sz w:val="18"/>
                <w:szCs w:val="20"/>
              </w:rPr>
            </w:pPr>
            <w:r w:rsidRPr="00C9228B">
              <w:rPr>
                <w:sz w:val="18"/>
                <w:szCs w:val="20"/>
              </w:rPr>
              <w:t xml:space="preserve">High School </w:t>
            </w:r>
            <w:r w:rsidR="005A2744" w:rsidRPr="00C9228B">
              <w:rPr>
                <w:sz w:val="18"/>
                <w:szCs w:val="20"/>
              </w:rPr>
              <w:t>Quantitative Reasoning</w:t>
            </w:r>
          </w:p>
        </w:tc>
        <w:tc>
          <w:tcPr>
            <w:tcW w:w="1133" w:type="dxa"/>
            <w:vAlign w:val="center"/>
          </w:tcPr>
          <w:p w:rsidR="005A2744" w:rsidRPr="00C9228B" w:rsidRDefault="00F214CA" w:rsidP="00A80599">
            <w:pPr>
              <w:jc w:val="center"/>
              <w:rPr>
                <w:sz w:val="18"/>
                <w:szCs w:val="20"/>
              </w:rPr>
            </w:pPr>
            <w:r w:rsidRPr="00C9228B">
              <w:rPr>
                <w:sz w:val="18"/>
                <w:szCs w:val="20"/>
              </w:rPr>
              <w:t>-0.02</w:t>
            </w:r>
          </w:p>
        </w:tc>
        <w:tc>
          <w:tcPr>
            <w:tcW w:w="1133" w:type="dxa"/>
            <w:vAlign w:val="center"/>
          </w:tcPr>
          <w:p w:rsidR="005A2744" w:rsidRPr="00C9228B" w:rsidRDefault="00F214CA" w:rsidP="00A80599">
            <w:pPr>
              <w:jc w:val="center"/>
              <w:rPr>
                <w:sz w:val="18"/>
                <w:szCs w:val="20"/>
              </w:rPr>
            </w:pPr>
            <w:r w:rsidRPr="00C9228B">
              <w:rPr>
                <w:sz w:val="18"/>
                <w:szCs w:val="20"/>
              </w:rPr>
              <w:t>-0.03</w:t>
            </w:r>
          </w:p>
        </w:tc>
        <w:tc>
          <w:tcPr>
            <w:tcW w:w="1197" w:type="dxa"/>
            <w:vAlign w:val="center"/>
          </w:tcPr>
          <w:p w:rsidR="005A2744" w:rsidRPr="00C9228B" w:rsidRDefault="00F214CA" w:rsidP="00A80599">
            <w:pPr>
              <w:jc w:val="center"/>
              <w:rPr>
                <w:sz w:val="18"/>
                <w:szCs w:val="20"/>
              </w:rPr>
            </w:pPr>
            <w:r w:rsidRPr="00C9228B">
              <w:rPr>
                <w:sz w:val="18"/>
                <w:szCs w:val="20"/>
              </w:rPr>
              <w:t>32.1</w:t>
            </w:r>
          </w:p>
        </w:tc>
        <w:tc>
          <w:tcPr>
            <w:tcW w:w="1114" w:type="dxa"/>
            <w:vAlign w:val="center"/>
          </w:tcPr>
          <w:p w:rsidR="005A2744" w:rsidRPr="00C9228B" w:rsidRDefault="00F214CA" w:rsidP="00A80599">
            <w:pPr>
              <w:jc w:val="center"/>
              <w:rPr>
                <w:sz w:val="18"/>
                <w:szCs w:val="20"/>
              </w:rPr>
            </w:pPr>
            <w:r w:rsidRPr="00C9228B">
              <w:rPr>
                <w:sz w:val="18"/>
                <w:szCs w:val="20"/>
              </w:rPr>
              <w:t>32.2</w:t>
            </w:r>
          </w:p>
        </w:tc>
      </w:tr>
      <w:tr w:rsidR="005A2744" w:rsidRPr="00C9228B" w:rsidTr="00A80599">
        <w:tc>
          <w:tcPr>
            <w:tcW w:w="4773" w:type="dxa"/>
          </w:tcPr>
          <w:p w:rsidR="005A2744" w:rsidRPr="00C9228B" w:rsidRDefault="00F214CA" w:rsidP="00F214CA">
            <w:pPr>
              <w:rPr>
                <w:sz w:val="18"/>
                <w:szCs w:val="20"/>
              </w:rPr>
            </w:pPr>
            <w:r w:rsidRPr="00C9228B">
              <w:rPr>
                <w:sz w:val="18"/>
                <w:szCs w:val="20"/>
              </w:rPr>
              <w:t>High School Learning Strategies</w:t>
            </w:r>
          </w:p>
        </w:tc>
        <w:tc>
          <w:tcPr>
            <w:tcW w:w="1133" w:type="dxa"/>
            <w:vAlign w:val="center"/>
          </w:tcPr>
          <w:p w:rsidR="005A2744" w:rsidRPr="00C9228B" w:rsidRDefault="00F214CA" w:rsidP="00A80599">
            <w:pPr>
              <w:jc w:val="center"/>
              <w:rPr>
                <w:sz w:val="18"/>
                <w:szCs w:val="20"/>
              </w:rPr>
            </w:pPr>
            <w:r w:rsidRPr="00C9228B">
              <w:rPr>
                <w:sz w:val="18"/>
                <w:szCs w:val="20"/>
              </w:rPr>
              <w:t>0.06*</w:t>
            </w:r>
          </w:p>
        </w:tc>
        <w:tc>
          <w:tcPr>
            <w:tcW w:w="1133" w:type="dxa"/>
            <w:vAlign w:val="center"/>
          </w:tcPr>
          <w:p w:rsidR="005A2744" w:rsidRPr="00C9228B" w:rsidRDefault="00F214CA" w:rsidP="00A80599">
            <w:pPr>
              <w:jc w:val="center"/>
              <w:rPr>
                <w:sz w:val="18"/>
                <w:szCs w:val="20"/>
              </w:rPr>
            </w:pPr>
            <w:r w:rsidRPr="00C9228B">
              <w:rPr>
                <w:sz w:val="18"/>
                <w:szCs w:val="20"/>
              </w:rPr>
              <w:t>0.06*</w:t>
            </w:r>
          </w:p>
        </w:tc>
        <w:tc>
          <w:tcPr>
            <w:tcW w:w="1197" w:type="dxa"/>
            <w:vAlign w:val="center"/>
          </w:tcPr>
          <w:p w:rsidR="005A2744" w:rsidRPr="00C9228B" w:rsidRDefault="00F214CA" w:rsidP="00A80599">
            <w:pPr>
              <w:jc w:val="center"/>
              <w:rPr>
                <w:sz w:val="18"/>
                <w:szCs w:val="20"/>
              </w:rPr>
            </w:pPr>
            <w:r w:rsidRPr="00C9228B">
              <w:rPr>
                <w:sz w:val="18"/>
                <w:szCs w:val="20"/>
              </w:rPr>
              <w:t>39.8</w:t>
            </w:r>
          </w:p>
        </w:tc>
        <w:tc>
          <w:tcPr>
            <w:tcW w:w="1114" w:type="dxa"/>
            <w:vAlign w:val="center"/>
          </w:tcPr>
          <w:p w:rsidR="005A2744" w:rsidRPr="00C9228B" w:rsidRDefault="00F214CA" w:rsidP="00A80599">
            <w:pPr>
              <w:jc w:val="center"/>
              <w:rPr>
                <w:sz w:val="18"/>
                <w:szCs w:val="20"/>
              </w:rPr>
            </w:pPr>
            <w:r w:rsidRPr="00C9228B">
              <w:rPr>
                <w:sz w:val="18"/>
                <w:szCs w:val="20"/>
              </w:rPr>
              <w:t>39.1</w:t>
            </w:r>
          </w:p>
        </w:tc>
      </w:tr>
      <w:tr w:rsidR="005A2744" w:rsidRPr="00C9228B" w:rsidTr="00A80599">
        <w:tc>
          <w:tcPr>
            <w:tcW w:w="4773" w:type="dxa"/>
          </w:tcPr>
          <w:p w:rsidR="005A2744" w:rsidRPr="00C9228B" w:rsidRDefault="00F214CA" w:rsidP="0015055B">
            <w:pPr>
              <w:rPr>
                <w:sz w:val="18"/>
                <w:szCs w:val="20"/>
              </w:rPr>
            </w:pPr>
            <w:r w:rsidRPr="00C9228B">
              <w:rPr>
                <w:sz w:val="18"/>
                <w:szCs w:val="20"/>
              </w:rPr>
              <w:t>Expected Collaborative Learning</w:t>
            </w:r>
          </w:p>
        </w:tc>
        <w:tc>
          <w:tcPr>
            <w:tcW w:w="1133" w:type="dxa"/>
            <w:vAlign w:val="center"/>
          </w:tcPr>
          <w:p w:rsidR="005A2744" w:rsidRPr="00C9228B" w:rsidRDefault="00F214CA" w:rsidP="00A80599">
            <w:pPr>
              <w:jc w:val="center"/>
              <w:rPr>
                <w:sz w:val="18"/>
                <w:szCs w:val="20"/>
              </w:rPr>
            </w:pPr>
            <w:r w:rsidRPr="00C9228B">
              <w:rPr>
                <w:sz w:val="18"/>
                <w:szCs w:val="20"/>
              </w:rPr>
              <w:t>0.01</w:t>
            </w:r>
          </w:p>
        </w:tc>
        <w:tc>
          <w:tcPr>
            <w:tcW w:w="1133" w:type="dxa"/>
            <w:vAlign w:val="center"/>
          </w:tcPr>
          <w:p w:rsidR="005A2744" w:rsidRPr="00C9228B" w:rsidRDefault="00F214CA" w:rsidP="00A80599">
            <w:pPr>
              <w:jc w:val="center"/>
              <w:rPr>
                <w:sz w:val="18"/>
                <w:szCs w:val="20"/>
              </w:rPr>
            </w:pPr>
            <w:r w:rsidRPr="00C9228B">
              <w:rPr>
                <w:sz w:val="18"/>
                <w:szCs w:val="20"/>
              </w:rPr>
              <w:t>0.02</w:t>
            </w:r>
          </w:p>
        </w:tc>
        <w:tc>
          <w:tcPr>
            <w:tcW w:w="1197" w:type="dxa"/>
            <w:vAlign w:val="center"/>
          </w:tcPr>
          <w:p w:rsidR="005A2744" w:rsidRPr="00C9228B" w:rsidRDefault="00F214CA" w:rsidP="00A80599">
            <w:pPr>
              <w:jc w:val="center"/>
              <w:rPr>
                <w:sz w:val="18"/>
                <w:szCs w:val="20"/>
              </w:rPr>
            </w:pPr>
            <w:r w:rsidRPr="00C9228B">
              <w:rPr>
                <w:sz w:val="18"/>
                <w:szCs w:val="20"/>
              </w:rPr>
              <w:t>39.1</w:t>
            </w:r>
          </w:p>
        </w:tc>
        <w:tc>
          <w:tcPr>
            <w:tcW w:w="1114" w:type="dxa"/>
            <w:vAlign w:val="center"/>
          </w:tcPr>
          <w:p w:rsidR="005A2744" w:rsidRPr="00C9228B" w:rsidRDefault="00F214CA" w:rsidP="00A80599">
            <w:pPr>
              <w:jc w:val="center"/>
              <w:rPr>
                <w:sz w:val="18"/>
                <w:szCs w:val="20"/>
              </w:rPr>
            </w:pPr>
            <w:r w:rsidRPr="00C9228B">
              <w:rPr>
                <w:sz w:val="18"/>
                <w:szCs w:val="20"/>
              </w:rPr>
              <w:t>38.7</w:t>
            </w:r>
          </w:p>
        </w:tc>
      </w:tr>
      <w:tr w:rsidR="005A2744" w:rsidRPr="00C9228B" w:rsidTr="00A80599">
        <w:tc>
          <w:tcPr>
            <w:tcW w:w="4773" w:type="dxa"/>
          </w:tcPr>
          <w:p w:rsidR="005A2744" w:rsidRPr="00C9228B" w:rsidRDefault="00F214CA" w:rsidP="0015055B">
            <w:pPr>
              <w:rPr>
                <w:sz w:val="18"/>
                <w:szCs w:val="20"/>
              </w:rPr>
            </w:pPr>
            <w:r w:rsidRPr="00C9228B">
              <w:rPr>
                <w:sz w:val="18"/>
                <w:szCs w:val="20"/>
              </w:rPr>
              <w:t>Expected Student-Faculty Engagement</w:t>
            </w:r>
          </w:p>
        </w:tc>
        <w:tc>
          <w:tcPr>
            <w:tcW w:w="1133" w:type="dxa"/>
            <w:vAlign w:val="center"/>
          </w:tcPr>
          <w:p w:rsidR="005A2744" w:rsidRPr="00C9228B" w:rsidRDefault="00F214CA" w:rsidP="00A80599">
            <w:pPr>
              <w:jc w:val="center"/>
              <w:rPr>
                <w:sz w:val="18"/>
                <w:szCs w:val="20"/>
              </w:rPr>
            </w:pPr>
            <w:r w:rsidRPr="00C9228B">
              <w:rPr>
                <w:sz w:val="18"/>
                <w:szCs w:val="20"/>
              </w:rPr>
              <w:t>0.02</w:t>
            </w:r>
          </w:p>
        </w:tc>
        <w:tc>
          <w:tcPr>
            <w:tcW w:w="1133" w:type="dxa"/>
            <w:vAlign w:val="center"/>
          </w:tcPr>
          <w:p w:rsidR="005A2744" w:rsidRPr="00C9228B" w:rsidRDefault="00F214CA" w:rsidP="00A80599">
            <w:pPr>
              <w:jc w:val="center"/>
              <w:rPr>
                <w:sz w:val="18"/>
                <w:szCs w:val="20"/>
              </w:rPr>
            </w:pPr>
            <w:r w:rsidRPr="00C9228B">
              <w:rPr>
                <w:sz w:val="18"/>
                <w:szCs w:val="20"/>
              </w:rPr>
              <w:t>0.02</w:t>
            </w:r>
          </w:p>
        </w:tc>
        <w:tc>
          <w:tcPr>
            <w:tcW w:w="1197" w:type="dxa"/>
            <w:vAlign w:val="center"/>
          </w:tcPr>
          <w:p w:rsidR="005A2744" w:rsidRPr="00C9228B" w:rsidRDefault="00F214CA" w:rsidP="00A80599">
            <w:pPr>
              <w:jc w:val="center"/>
              <w:rPr>
                <w:sz w:val="18"/>
                <w:szCs w:val="20"/>
              </w:rPr>
            </w:pPr>
            <w:r w:rsidRPr="00C9228B">
              <w:rPr>
                <w:sz w:val="18"/>
                <w:szCs w:val="20"/>
              </w:rPr>
              <w:t>34.1</w:t>
            </w:r>
          </w:p>
        </w:tc>
        <w:tc>
          <w:tcPr>
            <w:tcW w:w="1114" w:type="dxa"/>
            <w:vAlign w:val="center"/>
          </w:tcPr>
          <w:p w:rsidR="005A2744" w:rsidRPr="00C9228B" w:rsidRDefault="00F214CA" w:rsidP="00A80599">
            <w:pPr>
              <w:jc w:val="center"/>
              <w:rPr>
                <w:sz w:val="18"/>
                <w:szCs w:val="20"/>
              </w:rPr>
            </w:pPr>
            <w:r w:rsidRPr="00C9228B">
              <w:rPr>
                <w:sz w:val="18"/>
                <w:szCs w:val="20"/>
              </w:rPr>
              <w:t>33.2</w:t>
            </w:r>
          </w:p>
        </w:tc>
      </w:tr>
      <w:tr w:rsidR="005A2744" w:rsidRPr="00C9228B" w:rsidTr="00A80599">
        <w:tc>
          <w:tcPr>
            <w:tcW w:w="4773" w:type="dxa"/>
          </w:tcPr>
          <w:p w:rsidR="005A2744" w:rsidRPr="00C9228B" w:rsidRDefault="00F214CA" w:rsidP="0015055B">
            <w:pPr>
              <w:rPr>
                <w:sz w:val="18"/>
                <w:szCs w:val="20"/>
              </w:rPr>
            </w:pPr>
            <w:r w:rsidRPr="00C9228B">
              <w:rPr>
                <w:sz w:val="18"/>
                <w:szCs w:val="20"/>
              </w:rPr>
              <w:t>Expected Discussion with Diverse Others</w:t>
            </w:r>
          </w:p>
        </w:tc>
        <w:tc>
          <w:tcPr>
            <w:tcW w:w="1133" w:type="dxa"/>
            <w:vAlign w:val="center"/>
          </w:tcPr>
          <w:p w:rsidR="005A2744" w:rsidRPr="00C9228B" w:rsidRDefault="00F214CA" w:rsidP="00A80599">
            <w:pPr>
              <w:jc w:val="center"/>
              <w:rPr>
                <w:sz w:val="18"/>
                <w:szCs w:val="20"/>
              </w:rPr>
            </w:pPr>
            <w:r w:rsidRPr="00C9228B">
              <w:rPr>
                <w:sz w:val="18"/>
                <w:szCs w:val="20"/>
              </w:rPr>
              <w:t>0.02</w:t>
            </w:r>
          </w:p>
        </w:tc>
        <w:tc>
          <w:tcPr>
            <w:tcW w:w="1133" w:type="dxa"/>
            <w:vAlign w:val="center"/>
          </w:tcPr>
          <w:p w:rsidR="005A2744" w:rsidRPr="00C9228B" w:rsidRDefault="00F214CA" w:rsidP="00A80599">
            <w:pPr>
              <w:jc w:val="center"/>
              <w:rPr>
                <w:sz w:val="18"/>
                <w:szCs w:val="20"/>
              </w:rPr>
            </w:pPr>
            <w:r w:rsidRPr="00C9228B">
              <w:rPr>
                <w:sz w:val="18"/>
                <w:szCs w:val="20"/>
              </w:rPr>
              <w:t>0.02</w:t>
            </w:r>
          </w:p>
        </w:tc>
        <w:tc>
          <w:tcPr>
            <w:tcW w:w="1197" w:type="dxa"/>
            <w:vAlign w:val="center"/>
          </w:tcPr>
          <w:p w:rsidR="005A2744" w:rsidRPr="00C9228B" w:rsidRDefault="00F214CA" w:rsidP="00A80599">
            <w:pPr>
              <w:jc w:val="center"/>
              <w:rPr>
                <w:sz w:val="18"/>
                <w:szCs w:val="20"/>
              </w:rPr>
            </w:pPr>
            <w:r w:rsidRPr="00C9228B">
              <w:rPr>
                <w:sz w:val="18"/>
                <w:szCs w:val="20"/>
              </w:rPr>
              <w:t>44.6</w:t>
            </w:r>
          </w:p>
        </w:tc>
        <w:tc>
          <w:tcPr>
            <w:tcW w:w="1114" w:type="dxa"/>
            <w:vAlign w:val="center"/>
          </w:tcPr>
          <w:p w:rsidR="005A2744" w:rsidRPr="00C9228B" w:rsidRDefault="00F214CA" w:rsidP="00A80599">
            <w:pPr>
              <w:jc w:val="center"/>
              <w:rPr>
                <w:sz w:val="18"/>
                <w:szCs w:val="20"/>
              </w:rPr>
            </w:pPr>
            <w:r w:rsidRPr="00C9228B">
              <w:rPr>
                <w:sz w:val="18"/>
                <w:szCs w:val="20"/>
              </w:rPr>
              <w:t>45.6</w:t>
            </w:r>
          </w:p>
        </w:tc>
      </w:tr>
      <w:tr w:rsidR="005A2744" w:rsidRPr="00C9228B" w:rsidTr="00A80599">
        <w:tc>
          <w:tcPr>
            <w:tcW w:w="4773" w:type="dxa"/>
          </w:tcPr>
          <w:p w:rsidR="005A2744" w:rsidRPr="00C9228B" w:rsidRDefault="00F214CA" w:rsidP="0015055B">
            <w:pPr>
              <w:rPr>
                <w:sz w:val="18"/>
                <w:szCs w:val="20"/>
              </w:rPr>
            </w:pPr>
            <w:r w:rsidRPr="00C9228B">
              <w:rPr>
                <w:sz w:val="18"/>
                <w:szCs w:val="20"/>
              </w:rPr>
              <w:t>Expected Academic Perseverance</w:t>
            </w:r>
          </w:p>
        </w:tc>
        <w:tc>
          <w:tcPr>
            <w:tcW w:w="1133" w:type="dxa"/>
            <w:vAlign w:val="center"/>
          </w:tcPr>
          <w:p w:rsidR="005A2744" w:rsidRPr="00C9228B" w:rsidRDefault="00F214CA" w:rsidP="00A80599">
            <w:pPr>
              <w:jc w:val="center"/>
              <w:rPr>
                <w:sz w:val="18"/>
                <w:szCs w:val="20"/>
              </w:rPr>
            </w:pPr>
            <w:r w:rsidRPr="00C9228B">
              <w:rPr>
                <w:sz w:val="18"/>
                <w:szCs w:val="20"/>
              </w:rPr>
              <w:t>0.06*</w:t>
            </w:r>
          </w:p>
        </w:tc>
        <w:tc>
          <w:tcPr>
            <w:tcW w:w="1133" w:type="dxa"/>
            <w:vAlign w:val="center"/>
          </w:tcPr>
          <w:p w:rsidR="005A2744" w:rsidRPr="00C9228B" w:rsidRDefault="00F214CA" w:rsidP="00A80599">
            <w:pPr>
              <w:jc w:val="center"/>
              <w:rPr>
                <w:sz w:val="18"/>
                <w:szCs w:val="20"/>
              </w:rPr>
            </w:pPr>
            <w:r w:rsidRPr="00C9228B">
              <w:rPr>
                <w:sz w:val="18"/>
                <w:szCs w:val="20"/>
              </w:rPr>
              <w:t>0.05*</w:t>
            </w:r>
          </w:p>
        </w:tc>
        <w:tc>
          <w:tcPr>
            <w:tcW w:w="1197" w:type="dxa"/>
            <w:vAlign w:val="center"/>
          </w:tcPr>
          <w:p w:rsidR="005A2744" w:rsidRPr="00C9228B" w:rsidRDefault="00F214CA" w:rsidP="00A80599">
            <w:pPr>
              <w:jc w:val="center"/>
              <w:rPr>
                <w:sz w:val="18"/>
                <w:szCs w:val="20"/>
              </w:rPr>
            </w:pPr>
            <w:r w:rsidRPr="00C9228B">
              <w:rPr>
                <w:sz w:val="18"/>
                <w:szCs w:val="20"/>
              </w:rPr>
              <w:t>44.8</w:t>
            </w:r>
          </w:p>
        </w:tc>
        <w:tc>
          <w:tcPr>
            <w:tcW w:w="1114" w:type="dxa"/>
            <w:vAlign w:val="center"/>
          </w:tcPr>
          <w:p w:rsidR="005A2744" w:rsidRPr="00C9228B" w:rsidRDefault="00F214CA" w:rsidP="00A80599">
            <w:pPr>
              <w:jc w:val="center"/>
              <w:rPr>
                <w:sz w:val="18"/>
                <w:szCs w:val="20"/>
              </w:rPr>
            </w:pPr>
            <w:r w:rsidRPr="00C9228B">
              <w:rPr>
                <w:sz w:val="18"/>
                <w:szCs w:val="20"/>
              </w:rPr>
              <w:t>44.8</w:t>
            </w:r>
          </w:p>
        </w:tc>
      </w:tr>
      <w:tr w:rsidR="005A2744" w:rsidRPr="00C9228B" w:rsidTr="00A80599">
        <w:tc>
          <w:tcPr>
            <w:tcW w:w="4773" w:type="dxa"/>
          </w:tcPr>
          <w:p w:rsidR="005A2744" w:rsidRPr="00C9228B" w:rsidRDefault="00F214CA" w:rsidP="0015055B">
            <w:pPr>
              <w:rPr>
                <w:sz w:val="18"/>
                <w:szCs w:val="20"/>
              </w:rPr>
            </w:pPr>
            <w:r w:rsidRPr="00C9228B">
              <w:rPr>
                <w:sz w:val="18"/>
                <w:szCs w:val="20"/>
              </w:rPr>
              <w:t>Expected Academic Difficulty</w:t>
            </w:r>
          </w:p>
        </w:tc>
        <w:tc>
          <w:tcPr>
            <w:tcW w:w="1133" w:type="dxa"/>
            <w:vAlign w:val="center"/>
          </w:tcPr>
          <w:p w:rsidR="005A2744" w:rsidRPr="00C9228B" w:rsidRDefault="00F214CA" w:rsidP="00A80599">
            <w:pPr>
              <w:jc w:val="center"/>
              <w:rPr>
                <w:sz w:val="18"/>
                <w:szCs w:val="20"/>
              </w:rPr>
            </w:pPr>
            <w:r w:rsidRPr="00C9228B">
              <w:rPr>
                <w:sz w:val="18"/>
                <w:szCs w:val="20"/>
              </w:rPr>
              <w:t>-0.03</w:t>
            </w:r>
          </w:p>
        </w:tc>
        <w:tc>
          <w:tcPr>
            <w:tcW w:w="1133" w:type="dxa"/>
            <w:vAlign w:val="center"/>
          </w:tcPr>
          <w:p w:rsidR="005A2744" w:rsidRPr="00C9228B" w:rsidRDefault="00F214CA" w:rsidP="00A80599">
            <w:pPr>
              <w:jc w:val="center"/>
              <w:rPr>
                <w:sz w:val="18"/>
                <w:szCs w:val="20"/>
              </w:rPr>
            </w:pPr>
            <w:r w:rsidRPr="00C9228B">
              <w:rPr>
                <w:sz w:val="18"/>
                <w:szCs w:val="20"/>
              </w:rPr>
              <w:t>-0.03</w:t>
            </w:r>
          </w:p>
        </w:tc>
        <w:tc>
          <w:tcPr>
            <w:tcW w:w="1197" w:type="dxa"/>
            <w:vAlign w:val="center"/>
          </w:tcPr>
          <w:p w:rsidR="005A2744" w:rsidRPr="00C9228B" w:rsidRDefault="00F214CA" w:rsidP="00A80599">
            <w:pPr>
              <w:jc w:val="center"/>
              <w:rPr>
                <w:sz w:val="18"/>
                <w:szCs w:val="20"/>
              </w:rPr>
            </w:pPr>
            <w:r w:rsidRPr="00C9228B">
              <w:rPr>
                <w:sz w:val="18"/>
                <w:szCs w:val="20"/>
              </w:rPr>
              <w:t>27.9</w:t>
            </w:r>
          </w:p>
        </w:tc>
        <w:tc>
          <w:tcPr>
            <w:tcW w:w="1114" w:type="dxa"/>
            <w:vAlign w:val="center"/>
          </w:tcPr>
          <w:p w:rsidR="005A2744" w:rsidRPr="00C9228B" w:rsidRDefault="00F214CA" w:rsidP="00A80599">
            <w:pPr>
              <w:jc w:val="center"/>
              <w:rPr>
                <w:sz w:val="18"/>
                <w:szCs w:val="20"/>
              </w:rPr>
            </w:pPr>
            <w:r w:rsidRPr="00C9228B">
              <w:rPr>
                <w:sz w:val="18"/>
                <w:szCs w:val="20"/>
              </w:rPr>
              <w:t>28.1</w:t>
            </w:r>
          </w:p>
        </w:tc>
      </w:tr>
      <w:tr w:rsidR="005A2744" w:rsidRPr="00C9228B" w:rsidTr="00A80599">
        <w:tc>
          <w:tcPr>
            <w:tcW w:w="4773" w:type="dxa"/>
          </w:tcPr>
          <w:p w:rsidR="005A2744" w:rsidRPr="00C9228B" w:rsidRDefault="00F214CA" w:rsidP="0015055B">
            <w:pPr>
              <w:rPr>
                <w:sz w:val="18"/>
                <w:szCs w:val="20"/>
              </w:rPr>
            </w:pPr>
            <w:r w:rsidRPr="00C9228B">
              <w:rPr>
                <w:sz w:val="18"/>
                <w:szCs w:val="20"/>
              </w:rPr>
              <w:t>Perceived Academic Preparation</w:t>
            </w:r>
          </w:p>
        </w:tc>
        <w:tc>
          <w:tcPr>
            <w:tcW w:w="1133" w:type="dxa"/>
            <w:vAlign w:val="center"/>
          </w:tcPr>
          <w:p w:rsidR="005A2744" w:rsidRPr="00C9228B" w:rsidRDefault="00F214CA" w:rsidP="00A80599">
            <w:pPr>
              <w:jc w:val="center"/>
              <w:rPr>
                <w:sz w:val="18"/>
                <w:szCs w:val="20"/>
              </w:rPr>
            </w:pPr>
            <w:r w:rsidRPr="00C9228B">
              <w:rPr>
                <w:sz w:val="18"/>
                <w:szCs w:val="20"/>
              </w:rPr>
              <w:t>0.03</w:t>
            </w:r>
          </w:p>
        </w:tc>
        <w:tc>
          <w:tcPr>
            <w:tcW w:w="1133" w:type="dxa"/>
            <w:vAlign w:val="center"/>
          </w:tcPr>
          <w:p w:rsidR="005A2744" w:rsidRPr="00C9228B" w:rsidRDefault="00F214CA" w:rsidP="00A80599">
            <w:pPr>
              <w:jc w:val="center"/>
              <w:rPr>
                <w:sz w:val="18"/>
                <w:szCs w:val="20"/>
              </w:rPr>
            </w:pPr>
            <w:r w:rsidRPr="00C9228B">
              <w:rPr>
                <w:sz w:val="18"/>
                <w:szCs w:val="20"/>
              </w:rPr>
              <w:t>0.05*</w:t>
            </w:r>
          </w:p>
        </w:tc>
        <w:tc>
          <w:tcPr>
            <w:tcW w:w="1197" w:type="dxa"/>
            <w:vAlign w:val="center"/>
          </w:tcPr>
          <w:p w:rsidR="005A2744" w:rsidRPr="00C9228B" w:rsidRDefault="00A80599" w:rsidP="00A80599">
            <w:pPr>
              <w:jc w:val="center"/>
              <w:rPr>
                <w:sz w:val="18"/>
                <w:szCs w:val="20"/>
              </w:rPr>
            </w:pPr>
            <w:r w:rsidRPr="00C9228B">
              <w:rPr>
                <w:sz w:val="18"/>
                <w:szCs w:val="20"/>
              </w:rPr>
              <w:t>45.7</w:t>
            </w:r>
          </w:p>
        </w:tc>
        <w:tc>
          <w:tcPr>
            <w:tcW w:w="1114" w:type="dxa"/>
            <w:vAlign w:val="center"/>
          </w:tcPr>
          <w:p w:rsidR="005A2744" w:rsidRPr="00C9228B" w:rsidRDefault="00A80599" w:rsidP="00A80599">
            <w:pPr>
              <w:jc w:val="center"/>
              <w:rPr>
                <w:sz w:val="18"/>
                <w:szCs w:val="20"/>
              </w:rPr>
            </w:pPr>
            <w:r w:rsidRPr="00C9228B">
              <w:rPr>
                <w:sz w:val="18"/>
                <w:szCs w:val="20"/>
              </w:rPr>
              <w:t>45.3</w:t>
            </w:r>
          </w:p>
        </w:tc>
      </w:tr>
      <w:tr w:rsidR="005A2744" w:rsidRPr="00C9228B" w:rsidTr="00A80599">
        <w:tc>
          <w:tcPr>
            <w:tcW w:w="4773" w:type="dxa"/>
          </w:tcPr>
          <w:p w:rsidR="005A2744" w:rsidRPr="00C9228B" w:rsidRDefault="00F214CA" w:rsidP="0015055B">
            <w:pPr>
              <w:rPr>
                <w:sz w:val="18"/>
                <w:szCs w:val="20"/>
              </w:rPr>
            </w:pPr>
            <w:r w:rsidRPr="00C9228B">
              <w:rPr>
                <w:sz w:val="18"/>
                <w:szCs w:val="20"/>
              </w:rPr>
              <w:t>Importance of Campus Environment</w:t>
            </w:r>
          </w:p>
        </w:tc>
        <w:tc>
          <w:tcPr>
            <w:tcW w:w="1133" w:type="dxa"/>
            <w:vAlign w:val="center"/>
          </w:tcPr>
          <w:p w:rsidR="005A2744" w:rsidRPr="00C9228B" w:rsidRDefault="00F214CA" w:rsidP="00A80599">
            <w:pPr>
              <w:jc w:val="center"/>
              <w:rPr>
                <w:sz w:val="18"/>
                <w:szCs w:val="20"/>
              </w:rPr>
            </w:pPr>
            <w:r w:rsidRPr="00C9228B">
              <w:rPr>
                <w:sz w:val="18"/>
                <w:szCs w:val="20"/>
              </w:rPr>
              <w:t>0.04</w:t>
            </w:r>
          </w:p>
        </w:tc>
        <w:tc>
          <w:tcPr>
            <w:tcW w:w="1133" w:type="dxa"/>
            <w:vAlign w:val="center"/>
          </w:tcPr>
          <w:p w:rsidR="005A2744" w:rsidRPr="00C9228B" w:rsidRDefault="00F214CA" w:rsidP="00A80599">
            <w:pPr>
              <w:jc w:val="center"/>
              <w:rPr>
                <w:sz w:val="18"/>
                <w:szCs w:val="20"/>
              </w:rPr>
            </w:pPr>
            <w:r w:rsidRPr="00C9228B">
              <w:rPr>
                <w:sz w:val="18"/>
                <w:szCs w:val="20"/>
              </w:rPr>
              <w:t>0.05*</w:t>
            </w:r>
          </w:p>
        </w:tc>
        <w:tc>
          <w:tcPr>
            <w:tcW w:w="1197" w:type="dxa"/>
            <w:vAlign w:val="center"/>
          </w:tcPr>
          <w:p w:rsidR="005A2744" w:rsidRPr="00C9228B" w:rsidRDefault="00A80599" w:rsidP="00A80599">
            <w:pPr>
              <w:jc w:val="center"/>
              <w:rPr>
                <w:sz w:val="18"/>
                <w:szCs w:val="20"/>
              </w:rPr>
            </w:pPr>
            <w:r w:rsidRPr="00C9228B">
              <w:rPr>
                <w:sz w:val="18"/>
                <w:szCs w:val="20"/>
              </w:rPr>
              <w:t>46.9</w:t>
            </w:r>
          </w:p>
        </w:tc>
        <w:tc>
          <w:tcPr>
            <w:tcW w:w="1114" w:type="dxa"/>
            <w:vAlign w:val="center"/>
          </w:tcPr>
          <w:p w:rsidR="005A2744" w:rsidRPr="00C9228B" w:rsidRDefault="00A80599" w:rsidP="00A80599">
            <w:pPr>
              <w:jc w:val="center"/>
              <w:rPr>
                <w:sz w:val="18"/>
                <w:szCs w:val="20"/>
              </w:rPr>
            </w:pPr>
            <w:r w:rsidRPr="00C9228B">
              <w:rPr>
                <w:sz w:val="18"/>
                <w:szCs w:val="20"/>
              </w:rPr>
              <w:t>46.4</w:t>
            </w:r>
          </w:p>
        </w:tc>
      </w:tr>
      <w:tr w:rsidR="005A2744" w:rsidRPr="00C9228B" w:rsidTr="00F44888">
        <w:tc>
          <w:tcPr>
            <w:tcW w:w="9350" w:type="dxa"/>
            <w:gridSpan w:val="5"/>
          </w:tcPr>
          <w:p w:rsidR="005A2744" w:rsidRPr="00C9228B" w:rsidRDefault="005A2744" w:rsidP="005A2744">
            <w:pPr>
              <w:rPr>
                <w:sz w:val="18"/>
                <w:szCs w:val="20"/>
              </w:rPr>
            </w:pPr>
            <w:r w:rsidRPr="00C9228B">
              <w:rPr>
                <w:sz w:val="16"/>
                <w:szCs w:val="20"/>
              </w:rPr>
              <w:t xml:space="preserve">* </w:t>
            </w:r>
            <w:r w:rsidRPr="00C9228B">
              <w:rPr>
                <w:sz w:val="16"/>
                <w:szCs w:val="20"/>
              </w:rPr>
              <w:t>C</w:t>
            </w:r>
            <w:r w:rsidRPr="00C9228B">
              <w:rPr>
                <w:sz w:val="16"/>
                <w:szCs w:val="20"/>
              </w:rPr>
              <w:t>orrelation significantly different from 0 (p&lt;0.05)</w:t>
            </w:r>
            <w:r w:rsidRPr="00C9228B">
              <w:rPr>
                <w:sz w:val="16"/>
                <w:szCs w:val="20"/>
              </w:rPr>
              <w:br/>
            </w:r>
            <w:r w:rsidRPr="00C9228B">
              <w:rPr>
                <w:sz w:val="16"/>
                <w:szCs w:val="20"/>
              </w:rPr>
              <w:t>N</w:t>
            </w:r>
            <w:r w:rsidRPr="00C9228B">
              <w:rPr>
                <w:sz w:val="16"/>
                <w:szCs w:val="20"/>
              </w:rPr>
              <w:t>o scales are significan</w:t>
            </w:r>
            <w:r w:rsidRPr="00C9228B">
              <w:rPr>
                <w:sz w:val="16"/>
                <w:szCs w:val="20"/>
              </w:rPr>
              <w:t xml:space="preserve">tly different between retained and </w:t>
            </w:r>
            <w:proofErr w:type="spellStart"/>
            <w:r w:rsidRPr="00C9228B">
              <w:rPr>
                <w:sz w:val="16"/>
                <w:szCs w:val="20"/>
              </w:rPr>
              <w:t>unretained</w:t>
            </w:r>
            <w:proofErr w:type="spellEnd"/>
            <w:r w:rsidRPr="00C9228B">
              <w:rPr>
                <w:sz w:val="16"/>
                <w:szCs w:val="20"/>
              </w:rPr>
              <w:t xml:space="preserve"> students</w:t>
            </w:r>
          </w:p>
        </w:tc>
      </w:tr>
    </w:tbl>
    <w:p w:rsidR="005A2744" w:rsidRPr="00C9228B" w:rsidRDefault="005A2744" w:rsidP="0015055B">
      <w:pPr>
        <w:rPr>
          <w:sz w:val="18"/>
          <w:szCs w:val="20"/>
        </w:rPr>
      </w:pPr>
    </w:p>
    <w:p w:rsidR="00EA5DEB" w:rsidRPr="00C9228B" w:rsidRDefault="00EA5DEB">
      <w:pPr>
        <w:rPr>
          <w:b/>
          <w:sz w:val="18"/>
          <w:szCs w:val="20"/>
        </w:rPr>
      </w:pPr>
      <w:r w:rsidRPr="00C9228B">
        <w:rPr>
          <w:b/>
          <w:sz w:val="18"/>
          <w:szCs w:val="20"/>
        </w:rPr>
        <w:t>Correlation with NSSE Scales:</w:t>
      </w:r>
    </w:p>
    <w:p w:rsidR="00EA5DEB" w:rsidRPr="00C9228B" w:rsidRDefault="00EA5DEB">
      <w:pPr>
        <w:rPr>
          <w:sz w:val="18"/>
          <w:szCs w:val="20"/>
        </w:rPr>
      </w:pPr>
      <w:proofErr w:type="gramStart"/>
      <w:r w:rsidRPr="00C9228B">
        <w:rPr>
          <w:sz w:val="18"/>
          <w:szCs w:val="20"/>
        </w:rPr>
        <w:t>776</w:t>
      </w:r>
      <w:proofErr w:type="gramEnd"/>
      <w:r w:rsidRPr="00C9228B">
        <w:rPr>
          <w:sz w:val="18"/>
          <w:szCs w:val="20"/>
        </w:rPr>
        <w:t xml:space="preserve"> GVSU students participated in both BCSSE and NSSE in 2015-16.</w:t>
      </w:r>
      <w:r w:rsidR="004C33EE" w:rsidRPr="00C9228B">
        <w:rPr>
          <w:sz w:val="18"/>
          <w:szCs w:val="20"/>
        </w:rPr>
        <w:t xml:space="preserve">  </w:t>
      </w:r>
    </w:p>
    <w:p w:rsidR="004C33EE" w:rsidRPr="00C9228B" w:rsidRDefault="004C33EE">
      <w:pPr>
        <w:rPr>
          <w:sz w:val="18"/>
          <w:szCs w:val="20"/>
        </w:rPr>
      </w:pPr>
      <w:r w:rsidRPr="00C9228B">
        <w:rPr>
          <w:sz w:val="18"/>
          <w:szCs w:val="20"/>
        </w:rPr>
        <w:t xml:space="preserve">There are </w:t>
      </w:r>
      <w:r w:rsidR="00C37BE9">
        <w:rPr>
          <w:sz w:val="18"/>
          <w:szCs w:val="20"/>
        </w:rPr>
        <w:t xml:space="preserve">five </w:t>
      </w:r>
      <w:r w:rsidRPr="00C9228B">
        <w:rPr>
          <w:sz w:val="18"/>
          <w:szCs w:val="20"/>
        </w:rPr>
        <w:t xml:space="preserve">BCSSE scales that </w:t>
      </w:r>
      <w:proofErr w:type="gramStart"/>
      <w:r w:rsidRPr="00C9228B">
        <w:rPr>
          <w:sz w:val="18"/>
          <w:szCs w:val="20"/>
        </w:rPr>
        <w:t>are specifically designed</w:t>
      </w:r>
      <w:proofErr w:type="gramEnd"/>
      <w:r w:rsidRPr="00C9228B">
        <w:rPr>
          <w:sz w:val="18"/>
          <w:szCs w:val="20"/>
        </w:rPr>
        <w:t xml:space="preserve"> as precursors to NSSE scales</w:t>
      </w:r>
      <w:r w:rsidR="00B41DEB" w:rsidRPr="00C9228B">
        <w:rPr>
          <w:sz w:val="18"/>
          <w:szCs w:val="20"/>
        </w:rPr>
        <w:t>, with directly parallel phrasing and weighting of questions contributing to the scales</w:t>
      </w:r>
      <w:r w:rsidRPr="00C9228B">
        <w:rPr>
          <w:sz w:val="18"/>
          <w:szCs w:val="20"/>
        </w:rPr>
        <w:t>:</w:t>
      </w:r>
    </w:p>
    <w:tbl>
      <w:tblPr>
        <w:tblStyle w:val="TableGrid"/>
        <w:tblW w:w="0" w:type="auto"/>
        <w:tblLook w:val="04A0" w:firstRow="1" w:lastRow="0" w:firstColumn="1" w:lastColumn="0" w:noHBand="0" w:noVBand="1"/>
      </w:tblPr>
      <w:tblGrid>
        <w:gridCol w:w="4553"/>
        <w:gridCol w:w="3756"/>
        <w:gridCol w:w="1041"/>
      </w:tblGrid>
      <w:tr w:rsidR="00F214CA" w:rsidRPr="00C9228B" w:rsidTr="004C33EE">
        <w:tc>
          <w:tcPr>
            <w:tcW w:w="4585" w:type="dxa"/>
          </w:tcPr>
          <w:p w:rsidR="004C33EE" w:rsidRPr="00C9228B" w:rsidRDefault="004C33EE">
            <w:pPr>
              <w:rPr>
                <w:sz w:val="18"/>
                <w:szCs w:val="20"/>
              </w:rPr>
            </w:pPr>
          </w:p>
          <w:p w:rsidR="004C33EE" w:rsidRPr="00C9228B" w:rsidRDefault="004C33EE">
            <w:pPr>
              <w:rPr>
                <w:sz w:val="18"/>
                <w:szCs w:val="20"/>
              </w:rPr>
            </w:pPr>
            <w:r w:rsidRPr="00C9228B">
              <w:rPr>
                <w:sz w:val="18"/>
                <w:szCs w:val="20"/>
              </w:rPr>
              <w:t>BCSSE scale</w:t>
            </w:r>
          </w:p>
        </w:tc>
        <w:tc>
          <w:tcPr>
            <w:tcW w:w="3780" w:type="dxa"/>
          </w:tcPr>
          <w:p w:rsidR="004C33EE" w:rsidRPr="00C9228B" w:rsidRDefault="004C33EE">
            <w:pPr>
              <w:rPr>
                <w:sz w:val="18"/>
                <w:szCs w:val="20"/>
              </w:rPr>
            </w:pPr>
          </w:p>
          <w:p w:rsidR="004C33EE" w:rsidRPr="00C9228B" w:rsidRDefault="004C33EE">
            <w:pPr>
              <w:rPr>
                <w:sz w:val="18"/>
                <w:szCs w:val="20"/>
              </w:rPr>
            </w:pPr>
            <w:r w:rsidRPr="00C9228B">
              <w:rPr>
                <w:sz w:val="18"/>
                <w:szCs w:val="20"/>
              </w:rPr>
              <w:t>NSSE Engagement Indicator</w:t>
            </w:r>
          </w:p>
        </w:tc>
        <w:tc>
          <w:tcPr>
            <w:tcW w:w="985" w:type="dxa"/>
          </w:tcPr>
          <w:p w:rsidR="004C33EE" w:rsidRPr="00C9228B" w:rsidRDefault="004C33EE">
            <w:pPr>
              <w:rPr>
                <w:sz w:val="18"/>
                <w:szCs w:val="20"/>
              </w:rPr>
            </w:pPr>
            <w:r w:rsidRPr="00C9228B">
              <w:rPr>
                <w:sz w:val="18"/>
                <w:szCs w:val="20"/>
              </w:rPr>
              <w:t>Correlation</w:t>
            </w:r>
          </w:p>
          <w:p w:rsidR="004C33EE" w:rsidRPr="00C9228B" w:rsidRDefault="004C33EE" w:rsidP="004C33EE">
            <w:pPr>
              <w:rPr>
                <w:sz w:val="18"/>
                <w:szCs w:val="20"/>
              </w:rPr>
            </w:pPr>
            <w:r w:rsidRPr="00C9228B">
              <w:rPr>
                <w:sz w:val="18"/>
                <w:szCs w:val="20"/>
              </w:rPr>
              <w:t>(</w:t>
            </w:r>
            <w:proofErr w:type="spellStart"/>
            <w:r w:rsidRPr="00C9228B">
              <w:rPr>
                <w:sz w:val="18"/>
                <w:szCs w:val="20"/>
              </w:rPr>
              <w:t>R</w:t>
            </w:r>
            <w:r w:rsidRPr="00C9228B">
              <w:rPr>
                <w:sz w:val="18"/>
                <w:szCs w:val="20"/>
                <w:vertAlign w:val="subscript"/>
              </w:rPr>
              <w:t>Pearson</w:t>
            </w:r>
            <w:proofErr w:type="spellEnd"/>
            <w:r w:rsidRPr="00C9228B">
              <w:rPr>
                <w:sz w:val="18"/>
                <w:szCs w:val="20"/>
              </w:rPr>
              <w:t>)</w:t>
            </w:r>
          </w:p>
        </w:tc>
      </w:tr>
      <w:tr w:rsidR="00F214CA" w:rsidRPr="00C9228B" w:rsidTr="00D31B82">
        <w:tc>
          <w:tcPr>
            <w:tcW w:w="4585" w:type="dxa"/>
          </w:tcPr>
          <w:p w:rsidR="004C33EE" w:rsidRPr="00C9228B" w:rsidRDefault="00F214CA" w:rsidP="004C33EE">
            <w:pPr>
              <w:rPr>
                <w:sz w:val="18"/>
                <w:szCs w:val="20"/>
              </w:rPr>
            </w:pPr>
            <w:r w:rsidRPr="00C9228B">
              <w:rPr>
                <w:sz w:val="18"/>
                <w:szCs w:val="20"/>
              </w:rPr>
              <w:t xml:space="preserve">High School </w:t>
            </w:r>
            <w:r w:rsidR="004C33EE" w:rsidRPr="00C9228B">
              <w:rPr>
                <w:sz w:val="18"/>
                <w:szCs w:val="20"/>
              </w:rPr>
              <w:t>Quantitative Reasoning – High School engagement with analysis and numeric information</w:t>
            </w:r>
          </w:p>
        </w:tc>
        <w:tc>
          <w:tcPr>
            <w:tcW w:w="3780" w:type="dxa"/>
          </w:tcPr>
          <w:p w:rsidR="004C33EE" w:rsidRPr="00C9228B" w:rsidRDefault="00D31B82" w:rsidP="00D31B82">
            <w:pPr>
              <w:rPr>
                <w:sz w:val="18"/>
                <w:szCs w:val="20"/>
              </w:rPr>
            </w:pPr>
            <w:r w:rsidRPr="00C9228B">
              <w:rPr>
                <w:sz w:val="18"/>
                <w:szCs w:val="20"/>
              </w:rPr>
              <w:t>Quantitative Reasoning – First college year engagement with analysis and numeric information</w:t>
            </w:r>
          </w:p>
        </w:tc>
        <w:tc>
          <w:tcPr>
            <w:tcW w:w="985" w:type="dxa"/>
            <w:vAlign w:val="center"/>
          </w:tcPr>
          <w:p w:rsidR="004C33EE" w:rsidRPr="00C9228B" w:rsidRDefault="00D31B82" w:rsidP="00D31B82">
            <w:pPr>
              <w:jc w:val="center"/>
              <w:rPr>
                <w:sz w:val="18"/>
                <w:szCs w:val="20"/>
              </w:rPr>
            </w:pPr>
            <w:r w:rsidRPr="00C9228B">
              <w:rPr>
                <w:sz w:val="18"/>
                <w:szCs w:val="20"/>
              </w:rPr>
              <w:t>0.30</w:t>
            </w:r>
          </w:p>
        </w:tc>
      </w:tr>
      <w:tr w:rsidR="00F214CA" w:rsidRPr="00C9228B" w:rsidTr="00D31B82">
        <w:tc>
          <w:tcPr>
            <w:tcW w:w="4585" w:type="dxa"/>
          </w:tcPr>
          <w:p w:rsidR="004C33EE" w:rsidRPr="00C9228B" w:rsidRDefault="00F214CA">
            <w:pPr>
              <w:rPr>
                <w:sz w:val="18"/>
                <w:szCs w:val="20"/>
              </w:rPr>
            </w:pPr>
            <w:r w:rsidRPr="00C9228B">
              <w:rPr>
                <w:sz w:val="18"/>
                <w:szCs w:val="20"/>
              </w:rPr>
              <w:t xml:space="preserve">High School </w:t>
            </w:r>
            <w:r w:rsidR="004C33EE" w:rsidRPr="00C9228B">
              <w:rPr>
                <w:sz w:val="18"/>
                <w:szCs w:val="20"/>
              </w:rPr>
              <w:t>Learning Strategies – Use of effective learning strategies in high school</w:t>
            </w:r>
          </w:p>
        </w:tc>
        <w:tc>
          <w:tcPr>
            <w:tcW w:w="3780" w:type="dxa"/>
          </w:tcPr>
          <w:p w:rsidR="004C33EE" w:rsidRPr="00C9228B" w:rsidRDefault="00D31B82">
            <w:pPr>
              <w:rPr>
                <w:sz w:val="18"/>
                <w:szCs w:val="20"/>
              </w:rPr>
            </w:pPr>
            <w:r w:rsidRPr="00C9228B">
              <w:rPr>
                <w:sz w:val="18"/>
                <w:szCs w:val="20"/>
              </w:rPr>
              <w:t>Learning Strategies -- Use of effective learning strategies in first college year</w:t>
            </w:r>
          </w:p>
        </w:tc>
        <w:tc>
          <w:tcPr>
            <w:tcW w:w="985" w:type="dxa"/>
            <w:vAlign w:val="center"/>
          </w:tcPr>
          <w:p w:rsidR="004C33EE" w:rsidRPr="00C9228B" w:rsidRDefault="00D31B82" w:rsidP="00D31B82">
            <w:pPr>
              <w:jc w:val="center"/>
              <w:rPr>
                <w:sz w:val="18"/>
                <w:szCs w:val="20"/>
              </w:rPr>
            </w:pPr>
            <w:r w:rsidRPr="00C9228B">
              <w:rPr>
                <w:sz w:val="18"/>
                <w:szCs w:val="20"/>
              </w:rPr>
              <w:t>0.36</w:t>
            </w:r>
          </w:p>
        </w:tc>
      </w:tr>
      <w:tr w:rsidR="00F214CA" w:rsidRPr="00C9228B" w:rsidTr="00D31B82">
        <w:tc>
          <w:tcPr>
            <w:tcW w:w="4585" w:type="dxa"/>
          </w:tcPr>
          <w:p w:rsidR="004C33EE" w:rsidRPr="00C9228B" w:rsidRDefault="002E1BC6">
            <w:pPr>
              <w:rPr>
                <w:sz w:val="18"/>
                <w:szCs w:val="20"/>
              </w:rPr>
            </w:pPr>
            <w:r w:rsidRPr="00C9228B">
              <w:rPr>
                <w:sz w:val="18"/>
                <w:szCs w:val="20"/>
              </w:rPr>
              <w:t xml:space="preserve">Expected </w:t>
            </w:r>
            <w:r w:rsidR="004C33EE" w:rsidRPr="00C9228B">
              <w:rPr>
                <w:sz w:val="18"/>
                <w:szCs w:val="20"/>
              </w:rPr>
              <w:t>Collaborative Learning – Expectation to interact and collaborate with peers</w:t>
            </w:r>
          </w:p>
        </w:tc>
        <w:tc>
          <w:tcPr>
            <w:tcW w:w="3780" w:type="dxa"/>
          </w:tcPr>
          <w:p w:rsidR="004C33EE" w:rsidRPr="00C9228B" w:rsidRDefault="00B41DEB">
            <w:pPr>
              <w:rPr>
                <w:sz w:val="18"/>
                <w:szCs w:val="20"/>
              </w:rPr>
            </w:pPr>
            <w:r w:rsidRPr="00C9228B">
              <w:rPr>
                <w:sz w:val="18"/>
                <w:szCs w:val="20"/>
              </w:rPr>
              <w:t>Collaborative Learning – First-year interaction with other students regarding course material or projects</w:t>
            </w:r>
          </w:p>
        </w:tc>
        <w:tc>
          <w:tcPr>
            <w:tcW w:w="985" w:type="dxa"/>
            <w:vAlign w:val="center"/>
          </w:tcPr>
          <w:p w:rsidR="004C33EE" w:rsidRPr="00C9228B" w:rsidRDefault="00D31B82" w:rsidP="00D31B82">
            <w:pPr>
              <w:jc w:val="center"/>
              <w:rPr>
                <w:sz w:val="18"/>
                <w:szCs w:val="20"/>
              </w:rPr>
            </w:pPr>
            <w:r w:rsidRPr="00C9228B">
              <w:rPr>
                <w:sz w:val="18"/>
                <w:szCs w:val="20"/>
              </w:rPr>
              <w:t>0.33</w:t>
            </w:r>
          </w:p>
        </w:tc>
      </w:tr>
      <w:tr w:rsidR="00F214CA" w:rsidRPr="00C9228B" w:rsidTr="00D31B82">
        <w:tc>
          <w:tcPr>
            <w:tcW w:w="4585" w:type="dxa"/>
          </w:tcPr>
          <w:p w:rsidR="004C33EE" w:rsidRPr="00C9228B" w:rsidRDefault="000066C1" w:rsidP="000066C1">
            <w:pPr>
              <w:rPr>
                <w:sz w:val="18"/>
                <w:szCs w:val="20"/>
              </w:rPr>
            </w:pPr>
            <w:r w:rsidRPr="00C9228B">
              <w:rPr>
                <w:sz w:val="18"/>
                <w:szCs w:val="20"/>
              </w:rPr>
              <w:t xml:space="preserve">Expected </w:t>
            </w:r>
            <w:r w:rsidR="004C33EE" w:rsidRPr="00C9228B">
              <w:rPr>
                <w:sz w:val="18"/>
                <w:szCs w:val="20"/>
              </w:rPr>
              <w:t>Student-Faculty Interaction – Expectation to interact and engage with faculty</w:t>
            </w:r>
          </w:p>
        </w:tc>
        <w:tc>
          <w:tcPr>
            <w:tcW w:w="3780" w:type="dxa"/>
          </w:tcPr>
          <w:p w:rsidR="004C33EE" w:rsidRPr="00C9228B" w:rsidRDefault="00B41DEB">
            <w:pPr>
              <w:rPr>
                <w:sz w:val="18"/>
                <w:szCs w:val="20"/>
              </w:rPr>
            </w:pPr>
            <w:r w:rsidRPr="00C9228B">
              <w:rPr>
                <w:sz w:val="18"/>
                <w:szCs w:val="20"/>
              </w:rPr>
              <w:t xml:space="preserve">Student-Faculty-Interaction – First-year </w:t>
            </w:r>
            <w:r w:rsidRPr="00C9228B">
              <w:rPr>
                <w:sz w:val="18"/>
                <w:szCs w:val="20"/>
              </w:rPr>
              <w:t>interact</w:t>
            </w:r>
            <w:r w:rsidRPr="00C9228B">
              <w:rPr>
                <w:sz w:val="18"/>
                <w:szCs w:val="20"/>
              </w:rPr>
              <w:t>ion</w:t>
            </w:r>
            <w:r w:rsidRPr="00C9228B">
              <w:rPr>
                <w:sz w:val="18"/>
                <w:szCs w:val="20"/>
              </w:rPr>
              <w:t xml:space="preserve"> and engage</w:t>
            </w:r>
            <w:r w:rsidRPr="00C9228B">
              <w:rPr>
                <w:sz w:val="18"/>
                <w:szCs w:val="20"/>
              </w:rPr>
              <w:t>ment</w:t>
            </w:r>
            <w:r w:rsidRPr="00C9228B">
              <w:rPr>
                <w:sz w:val="18"/>
                <w:szCs w:val="20"/>
              </w:rPr>
              <w:t xml:space="preserve"> with faculty</w:t>
            </w:r>
          </w:p>
        </w:tc>
        <w:tc>
          <w:tcPr>
            <w:tcW w:w="985" w:type="dxa"/>
            <w:vAlign w:val="center"/>
          </w:tcPr>
          <w:p w:rsidR="004C33EE" w:rsidRPr="00C9228B" w:rsidRDefault="00D31B82" w:rsidP="00D31B82">
            <w:pPr>
              <w:jc w:val="center"/>
              <w:rPr>
                <w:sz w:val="18"/>
                <w:szCs w:val="20"/>
              </w:rPr>
            </w:pPr>
            <w:r w:rsidRPr="00C9228B">
              <w:rPr>
                <w:sz w:val="18"/>
                <w:szCs w:val="20"/>
              </w:rPr>
              <w:t>0.27</w:t>
            </w:r>
          </w:p>
        </w:tc>
      </w:tr>
      <w:tr w:rsidR="00F214CA" w:rsidRPr="00C9228B" w:rsidTr="00D31B82">
        <w:tc>
          <w:tcPr>
            <w:tcW w:w="4585" w:type="dxa"/>
          </w:tcPr>
          <w:p w:rsidR="004C33EE" w:rsidRPr="00C9228B" w:rsidRDefault="004C33EE">
            <w:pPr>
              <w:rPr>
                <w:sz w:val="18"/>
                <w:szCs w:val="20"/>
              </w:rPr>
            </w:pPr>
            <w:r w:rsidRPr="00C9228B">
              <w:rPr>
                <w:sz w:val="18"/>
                <w:szCs w:val="20"/>
              </w:rPr>
              <w:t>Expected Discussions with Diverse Others – Expectation to engage in</w:t>
            </w:r>
            <w:r w:rsidR="00B41DEB" w:rsidRPr="00C9228B">
              <w:rPr>
                <w:sz w:val="18"/>
                <w:szCs w:val="20"/>
              </w:rPr>
              <w:t xml:space="preserve"> discussions with people from different backgrounds</w:t>
            </w:r>
          </w:p>
        </w:tc>
        <w:tc>
          <w:tcPr>
            <w:tcW w:w="3780" w:type="dxa"/>
          </w:tcPr>
          <w:p w:rsidR="004C33EE" w:rsidRPr="00C9228B" w:rsidRDefault="00B41DEB" w:rsidP="00B41DEB">
            <w:pPr>
              <w:rPr>
                <w:sz w:val="18"/>
                <w:szCs w:val="20"/>
              </w:rPr>
            </w:pPr>
            <w:r w:rsidRPr="00C9228B">
              <w:rPr>
                <w:sz w:val="18"/>
                <w:szCs w:val="20"/>
              </w:rPr>
              <w:t xml:space="preserve">Discussions with Diverse Others – Frequency of first-year discussions </w:t>
            </w:r>
            <w:r w:rsidRPr="00C9228B">
              <w:rPr>
                <w:sz w:val="18"/>
                <w:szCs w:val="20"/>
              </w:rPr>
              <w:t>with people from different backgrounds</w:t>
            </w:r>
          </w:p>
        </w:tc>
        <w:tc>
          <w:tcPr>
            <w:tcW w:w="985" w:type="dxa"/>
            <w:vAlign w:val="center"/>
          </w:tcPr>
          <w:p w:rsidR="004C33EE" w:rsidRPr="00C9228B" w:rsidRDefault="00D31B82" w:rsidP="00D31B82">
            <w:pPr>
              <w:jc w:val="center"/>
              <w:rPr>
                <w:sz w:val="18"/>
                <w:szCs w:val="20"/>
              </w:rPr>
            </w:pPr>
            <w:r w:rsidRPr="00C9228B">
              <w:rPr>
                <w:sz w:val="18"/>
                <w:szCs w:val="20"/>
              </w:rPr>
              <w:t>0.28</w:t>
            </w:r>
          </w:p>
        </w:tc>
      </w:tr>
    </w:tbl>
    <w:p w:rsidR="00C37BE9" w:rsidRDefault="00577EA6">
      <w:pPr>
        <w:rPr>
          <w:sz w:val="18"/>
          <w:szCs w:val="20"/>
        </w:rPr>
      </w:pPr>
      <w:r w:rsidRPr="00C9228B">
        <w:rPr>
          <w:sz w:val="18"/>
          <w:szCs w:val="20"/>
        </w:rPr>
        <w:br/>
      </w:r>
    </w:p>
    <w:p w:rsidR="00B41DEB" w:rsidRPr="00C9228B" w:rsidRDefault="00577EA6">
      <w:pPr>
        <w:rPr>
          <w:sz w:val="18"/>
          <w:szCs w:val="20"/>
        </w:rPr>
      </w:pPr>
      <w:r w:rsidRPr="00C9228B">
        <w:rPr>
          <w:sz w:val="18"/>
          <w:szCs w:val="20"/>
        </w:rPr>
        <w:t xml:space="preserve">Given the explicit theoretic and methodological linkages between these scales, these correlations are </w:t>
      </w:r>
      <w:r w:rsidR="00EB71C1" w:rsidRPr="00C9228B">
        <w:rPr>
          <w:sz w:val="18"/>
          <w:szCs w:val="20"/>
        </w:rPr>
        <w:t>underwhelming</w:t>
      </w:r>
      <w:r w:rsidRPr="00C9228B">
        <w:rPr>
          <w:sz w:val="18"/>
          <w:szCs w:val="20"/>
        </w:rPr>
        <w:t>.  I believe that engagement (as measured by any single NSSE Engagement Indicator) reflects:</w:t>
      </w:r>
    </w:p>
    <w:p w:rsidR="00F83A1D" w:rsidRPr="00C9228B" w:rsidRDefault="00F83A1D" w:rsidP="00F83A1D">
      <w:pPr>
        <w:pStyle w:val="ListParagraph"/>
        <w:numPr>
          <w:ilvl w:val="0"/>
          <w:numId w:val="2"/>
        </w:numPr>
        <w:rPr>
          <w:sz w:val="18"/>
          <w:szCs w:val="20"/>
        </w:rPr>
      </w:pPr>
      <w:r w:rsidRPr="00C9228B">
        <w:rPr>
          <w:sz w:val="18"/>
          <w:szCs w:val="20"/>
        </w:rPr>
        <w:lastRenderedPageBreak/>
        <w:t>t</w:t>
      </w:r>
      <w:r w:rsidR="00577EA6" w:rsidRPr="00C9228B">
        <w:rPr>
          <w:sz w:val="18"/>
          <w:szCs w:val="20"/>
        </w:rPr>
        <w:t xml:space="preserve">he opportunities for engagement that </w:t>
      </w:r>
      <w:r w:rsidRPr="00C9228B">
        <w:rPr>
          <w:sz w:val="18"/>
          <w:szCs w:val="20"/>
        </w:rPr>
        <w:t>respondents have experienced (environment factors);</w:t>
      </w:r>
    </w:p>
    <w:p w:rsidR="00F83A1D" w:rsidRPr="00C9228B" w:rsidRDefault="00F83A1D" w:rsidP="00F83A1D">
      <w:pPr>
        <w:pStyle w:val="ListParagraph"/>
        <w:numPr>
          <w:ilvl w:val="0"/>
          <w:numId w:val="2"/>
        </w:numPr>
        <w:rPr>
          <w:sz w:val="18"/>
          <w:szCs w:val="20"/>
        </w:rPr>
      </w:pPr>
      <w:r w:rsidRPr="00C9228B">
        <w:rPr>
          <w:sz w:val="18"/>
          <w:szCs w:val="20"/>
        </w:rPr>
        <w:t>the inclination of the particular respondents to follow through on those opportunities (student factors);</w:t>
      </w:r>
    </w:p>
    <w:p w:rsidR="00F83A1D" w:rsidRPr="00C9228B" w:rsidRDefault="00F83A1D" w:rsidP="00F83A1D">
      <w:pPr>
        <w:pStyle w:val="ListParagraph"/>
        <w:numPr>
          <w:ilvl w:val="0"/>
          <w:numId w:val="2"/>
        </w:numPr>
        <w:rPr>
          <w:sz w:val="18"/>
          <w:szCs w:val="20"/>
        </w:rPr>
      </w:pPr>
      <w:r w:rsidRPr="00C9228B">
        <w:rPr>
          <w:sz w:val="18"/>
          <w:szCs w:val="20"/>
        </w:rPr>
        <w:t>effects of the choice and phrasing of survey items (measurement factors);</w:t>
      </w:r>
    </w:p>
    <w:p w:rsidR="00F83A1D" w:rsidRPr="00C9228B" w:rsidRDefault="00F83A1D" w:rsidP="00F83A1D">
      <w:pPr>
        <w:pStyle w:val="ListParagraph"/>
        <w:numPr>
          <w:ilvl w:val="0"/>
          <w:numId w:val="2"/>
        </w:numPr>
        <w:rPr>
          <w:sz w:val="18"/>
          <w:szCs w:val="20"/>
        </w:rPr>
      </w:pPr>
      <w:r w:rsidRPr="00C9228B">
        <w:rPr>
          <w:sz w:val="18"/>
          <w:szCs w:val="20"/>
        </w:rPr>
        <w:t xml:space="preserve">error </w:t>
      </w:r>
    </w:p>
    <w:p w:rsidR="00F83A1D" w:rsidRPr="00C9228B" w:rsidRDefault="00F83A1D" w:rsidP="00F83A1D">
      <w:pPr>
        <w:rPr>
          <w:sz w:val="18"/>
          <w:szCs w:val="20"/>
        </w:rPr>
      </w:pPr>
      <w:r w:rsidRPr="00C9228B">
        <w:rPr>
          <w:sz w:val="18"/>
          <w:szCs w:val="20"/>
        </w:rPr>
        <w:t xml:space="preserve">The BCSSE-NSSE linkage should effectively control for b) and </w:t>
      </w:r>
      <w:r w:rsidR="00123E1F" w:rsidRPr="00C9228B">
        <w:rPr>
          <w:sz w:val="18"/>
          <w:szCs w:val="20"/>
        </w:rPr>
        <w:t xml:space="preserve">much of </w:t>
      </w:r>
      <w:r w:rsidRPr="00C9228B">
        <w:rPr>
          <w:sz w:val="18"/>
          <w:szCs w:val="20"/>
        </w:rPr>
        <w:t xml:space="preserve">c), so </w:t>
      </w:r>
      <w:r w:rsidR="00820E18" w:rsidRPr="00C9228B">
        <w:rPr>
          <w:sz w:val="18"/>
          <w:szCs w:val="20"/>
        </w:rPr>
        <w:t xml:space="preserve">the absence of strong correlations implies (to me) that either </w:t>
      </w:r>
      <w:r w:rsidR="00123E1F" w:rsidRPr="00C9228B">
        <w:rPr>
          <w:sz w:val="18"/>
          <w:szCs w:val="20"/>
        </w:rPr>
        <w:t xml:space="preserve">(1) </w:t>
      </w:r>
      <w:r w:rsidR="00820E18" w:rsidRPr="00C9228B">
        <w:rPr>
          <w:sz w:val="18"/>
          <w:szCs w:val="20"/>
        </w:rPr>
        <w:t xml:space="preserve">GVSU first-year environments are highly variable in the opportunities they present for each of these different types of engagement or </w:t>
      </w:r>
      <w:r w:rsidR="00123E1F" w:rsidRPr="00C9228B">
        <w:rPr>
          <w:sz w:val="18"/>
          <w:szCs w:val="20"/>
        </w:rPr>
        <w:t xml:space="preserve">(2) </w:t>
      </w:r>
      <w:r w:rsidR="00820E18" w:rsidRPr="00C9228B">
        <w:rPr>
          <w:sz w:val="18"/>
          <w:szCs w:val="20"/>
        </w:rPr>
        <w:t xml:space="preserve">BCSSE </w:t>
      </w:r>
      <w:r w:rsidR="00123E1F" w:rsidRPr="00C9228B">
        <w:rPr>
          <w:sz w:val="18"/>
          <w:szCs w:val="20"/>
        </w:rPr>
        <w:t xml:space="preserve">responses simply aren’t good predictors of NSSE responses.  </w:t>
      </w:r>
    </w:p>
    <w:p w:rsidR="00082B66" w:rsidRPr="00C9228B" w:rsidRDefault="00786AD1" w:rsidP="00F83A1D">
      <w:pPr>
        <w:rPr>
          <w:sz w:val="18"/>
          <w:szCs w:val="20"/>
        </w:rPr>
      </w:pPr>
      <w:r w:rsidRPr="00C9228B">
        <w:rPr>
          <w:sz w:val="18"/>
          <w:szCs w:val="20"/>
        </w:rPr>
        <w:t xml:space="preserve">I investigated the seven instances where a GV college’s responses were significantly different from the GVSU average on first-year students’ responses to one of these five NSSE 2016 Engagement Indicators.  In each case, I tested whether being in the college was significantly associated with the NSSE scale score after </w:t>
      </w:r>
      <w:r w:rsidR="00E86ED7" w:rsidRPr="00C9228B">
        <w:rPr>
          <w:sz w:val="18"/>
          <w:szCs w:val="20"/>
        </w:rPr>
        <w:t xml:space="preserve">controlling for the students’ corresponding BCSSE scale score.  </w:t>
      </w:r>
      <w:proofErr w:type="gramStart"/>
      <w:r w:rsidR="00E86ED7" w:rsidRPr="00C9228B">
        <w:rPr>
          <w:sz w:val="18"/>
          <w:szCs w:val="20"/>
        </w:rPr>
        <w:t>In other words, did the observed NSSE finding describe a characteristic of the college, or of the students who enter that college?</w:t>
      </w:r>
      <w:proofErr w:type="gramEnd"/>
      <w:r w:rsidR="00E86ED7" w:rsidRPr="00C9228B">
        <w:rPr>
          <w:sz w:val="18"/>
          <w:szCs w:val="20"/>
        </w:rPr>
        <w:t xml:space="preserve">  Of the seven relationships considered, college was a significant factor independent of BC</w:t>
      </w:r>
      <w:r w:rsidR="0047111C" w:rsidRPr="00C9228B">
        <w:rPr>
          <w:sz w:val="18"/>
          <w:szCs w:val="20"/>
        </w:rPr>
        <w:t xml:space="preserve">SSE scores in </w:t>
      </w:r>
      <w:r w:rsidR="00082B66" w:rsidRPr="00C9228B">
        <w:rPr>
          <w:sz w:val="18"/>
          <w:szCs w:val="20"/>
        </w:rPr>
        <w:t xml:space="preserve">five of the cases.  In the other two cases, neither the simple bivariate association (college </w:t>
      </w:r>
      <w:r w:rsidR="00082B66" w:rsidRPr="00C9228B">
        <w:rPr>
          <w:sz w:val="18"/>
          <w:szCs w:val="20"/>
        </w:rPr>
        <w:sym w:font="Wingdings" w:char="F0E0"/>
      </w:r>
      <w:r w:rsidR="00082B66" w:rsidRPr="00C9228B">
        <w:rPr>
          <w:sz w:val="18"/>
          <w:szCs w:val="20"/>
        </w:rPr>
        <w:t xml:space="preserve"> NSSE score) nor the </w:t>
      </w:r>
      <w:r w:rsidR="003B6FDE" w:rsidRPr="00C9228B">
        <w:rPr>
          <w:sz w:val="18"/>
          <w:szCs w:val="20"/>
        </w:rPr>
        <w:t xml:space="preserve">multivariate relationship (College </w:t>
      </w:r>
      <w:r w:rsidR="003B6FDE" w:rsidRPr="00C9228B">
        <w:rPr>
          <w:sz w:val="18"/>
          <w:szCs w:val="20"/>
        </w:rPr>
        <w:sym w:font="Wingdings" w:char="F0E0"/>
      </w:r>
      <w:r w:rsidR="003B6FDE" w:rsidRPr="00C9228B">
        <w:rPr>
          <w:sz w:val="18"/>
          <w:szCs w:val="20"/>
        </w:rPr>
        <w:t xml:space="preserve">NSSE score controlling for BCSSE score) was significant. In both of those cases, it appears that the reduced sample size (from 1169 first-year NSSE participants to 776 matched BCSSSE-NSSE participants) was </w:t>
      </w:r>
      <w:proofErr w:type="spellStart"/>
      <w:r w:rsidR="003B6FDE" w:rsidRPr="00C9228B">
        <w:rPr>
          <w:sz w:val="18"/>
          <w:szCs w:val="20"/>
        </w:rPr>
        <w:t>a</w:t>
      </w:r>
      <w:proofErr w:type="spellEnd"/>
      <w:r w:rsidR="003B6FDE" w:rsidRPr="00C9228B">
        <w:rPr>
          <w:sz w:val="18"/>
          <w:szCs w:val="20"/>
        </w:rPr>
        <w:t xml:space="preserve"> factor in the lack of significance.  The upshot is that the inclusion of BCSSE data did not affect the substantive conclusion (“Enrollment in college A is associated with higher/lower scores on NSSE scale B”)</w:t>
      </w:r>
      <w:r w:rsidR="00EB71C1" w:rsidRPr="00C9228B">
        <w:rPr>
          <w:sz w:val="18"/>
          <w:szCs w:val="20"/>
        </w:rPr>
        <w:t xml:space="preserve"> in most cases.</w:t>
      </w:r>
    </w:p>
    <w:p w:rsidR="005E2178" w:rsidRPr="00C9228B" w:rsidRDefault="002E1BC6" w:rsidP="00F83A1D">
      <w:pPr>
        <w:rPr>
          <w:sz w:val="18"/>
          <w:szCs w:val="20"/>
        </w:rPr>
      </w:pPr>
      <w:r w:rsidRPr="00C9228B">
        <w:rPr>
          <w:sz w:val="18"/>
          <w:szCs w:val="20"/>
        </w:rPr>
        <w:t>BCSSE scale scores are also significantly associated with first-year participation in high-impact practices (as reported in NSSE).  In particular, students who engaged in HIPs tended to have higher scores on the “Expected Collaborative Learning” scale, and students who participated in learning communities had particularly high scores on “Expe</w:t>
      </w:r>
      <w:r w:rsidR="000066C1" w:rsidRPr="00C9228B">
        <w:rPr>
          <w:sz w:val="18"/>
          <w:szCs w:val="20"/>
        </w:rPr>
        <w:t xml:space="preserve">cted Student-Faculty Interaction”. </w:t>
      </w:r>
      <w:r w:rsidR="0015055B" w:rsidRPr="00C9228B">
        <w:rPr>
          <w:sz w:val="18"/>
          <w:szCs w:val="20"/>
        </w:rPr>
        <w:t xml:space="preserve">  Since students complete</w:t>
      </w:r>
      <w:r w:rsidR="00C37BE9">
        <w:rPr>
          <w:sz w:val="18"/>
          <w:szCs w:val="20"/>
        </w:rPr>
        <w:t>d</w:t>
      </w:r>
      <w:r w:rsidR="0015055B" w:rsidRPr="00C9228B">
        <w:rPr>
          <w:sz w:val="18"/>
          <w:szCs w:val="20"/>
        </w:rPr>
        <w:t xml:space="preserve"> BCSSE on the same day they selected their first year</w:t>
      </w:r>
      <w:r w:rsidR="00C37BE9">
        <w:rPr>
          <w:sz w:val="18"/>
          <w:szCs w:val="20"/>
        </w:rPr>
        <w:t>’s</w:t>
      </w:r>
      <w:r w:rsidR="0015055B" w:rsidRPr="00C9228B">
        <w:rPr>
          <w:sz w:val="18"/>
          <w:szCs w:val="20"/>
        </w:rPr>
        <w:t xml:space="preserve"> courses and after they had contracted for on-campus housing (including living-learning communities), the chronology between the BCSSE scores and the HIP participation is unclear (making causal presumptions even more precarious than usual).</w:t>
      </w:r>
    </w:p>
    <w:p w:rsidR="000066C1" w:rsidRPr="00C9228B" w:rsidRDefault="000066C1" w:rsidP="00F83A1D">
      <w:pPr>
        <w:rPr>
          <w:sz w:val="18"/>
          <w:szCs w:val="20"/>
        </w:rPr>
      </w:pPr>
    </w:p>
    <w:p w:rsidR="00E86ED7" w:rsidRPr="00C9228B" w:rsidRDefault="00A80599" w:rsidP="00F83A1D">
      <w:pPr>
        <w:rPr>
          <w:b/>
          <w:sz w:val="18"/>
          <w:szCs w:val="20"/>
        </w:rPr>
      </w:pPr>
      <w:r w:rsidRPr="00C9228B">
        <w:rPr>
          <w:b/>
          <w:sz w:val="18"/>
          <w:szCs w:val="20"/>
        </w:rPr>
        <w:t xml:space="preserve">Association with </w:t>
      </w:r>
      <w:r w:rsidR="00763341" w:rsidRPr="00C9228B">
        <w:rPr>
          <w:b/>
          <w:sz w:val="18"/>
          <w:szCs w:val="20"/>
        </w:rPr>
        <w:t>Satisfaction</w:t>
      </w:r>
      <w:r w:rsidRPr="00C9228B">
        <w:rPr>
          <w:b/>
          <w:sz w:val="18"/>
          <w:szCs w:val="20"/>
        </w:rPr>
        <w:t>:</w:t>
      </w:r>
    </w:p>
    <w:p w:rsidR="00577EA6" w:rsidRPr="00C9228B" w:rsidRDefault="00763341">
      <w:pPr>
        <w:rPr>
          <w:sz w:val="18"/>
          <w:szCs w:val="20"/>
        </w:rPr>
      </w:pPr>
      <w:r w:rsidRPr="00C9228B">
        <w:rPr>
          <w:b/>
          <w:sz w:val="18"/>
          <w:szCs w:val="20"/>
        </w:rPr>
        <w:t>MAP-Works</w:t>
      </w:r>
      <w:r w:rsidRPr="00C9228B">
        <w:rPr>
          <w:sz w:val="18"/>
          <w:szCs w:val="20"/>
        </w:rPr>
        <w:t xml:space="preserve">:  </w:t>
      </w:r>
      <w:r w:rsidR="00A80599" w:rsidRPr="00C9228B">
        <w:rPr>
          <w:sz w:val="18"/>
          <w:szCs w:val="20"/>
        </w:rPr>
        <w:t>Please recall that MAP-Works results were constrained and po</w:t>
      </w:r>
      <w:r w:rsidRPr="00C9228B">
        <w:rPr>
          <w:sz w:val="18"/>
          <w:szCs w:val="20"/>
        </w:rPr>
        <w:t>ssibly</w:t>
      </w:r>
      <w:r w:rsidR="00A80599" w:rsidRPr="00C9228B">
        <w:rPr>
          <w:sz w:val="18"/>
          <w:szCs w:val="20"/>
        </w:rPr>
        <w:t xml:space="preserve"> biased by administrative difficulties in 2015. </w:t>
      </w:r>
      <w:r w:rsidRPr="00C9228B">
        <w:rPr>
          <w:sz w:val="18"/>
          <w:szCs w:val="20"/>
        </w:rPr>
        <w:t xml:space="preserve"> Still, the data do have some validity (and predict grades and attrition much more effectively than BCSSE</w:t>
      </w:r>
      <w:r w:rsidR="007E5C65" w:rsidRPr="00C9228B">
        <w:rPr>
          <w:sz w:val="18"/>
          <w:szCs w:val="20"/>
        </w:rPr>
        <w:t>,</w:t>
      </w:r>
      <w:r w:rsidRPr="00C9228B">
        <w:rPr>
          <w:sz w:val="18"/>
          <w:szCs w:val="20"/>
        </w:rPr>
        <w:t xml:space="preserve"> as it turns out).</w:t>
      </w:r>
      <w:r w:rsidR="00C37BE9">
        <w:rPr>
          <w:sz w:val="18"/>
          <w:szCs w:val="20"/>
        </w:rPr>
        <w:t xml:space="preserve">  </w:t>
      </w:r>
    </w:p>
    <w:p w:rsidR="00A80599" w:rsidRPr="00C9228B" w:rsidRDefault="00763341">
      <w:pPr>
        <w:rPr>
          <w:sz w:val="18"/>
          <w:szCs w:val="20"/>
        </w:rPr>
      </w:pPr>
      <w:proofErr w:type="gramStart"/>
      <w:r w:rsidRPr="00C9228B">
        <w:rPr>
          <w:sz w:val="18"/>
          <w:szCs w:val="20"/>
        </w:rPr>
        <w:t>There were 1,616 students who</w:t>
      </w:r>
      <w:proofErr w:type="gramEnd"/>
      <w:r w:rsidRPr="00C9228B">
        <w:rPr>
          <w:sz w:val="18"/>
          <w:szCs w:val="20"/>
        </w:rPr>
        <w:t xml:space="preserve"> completed BCSSE during summer of 2015 and MAP-Works </w:t>
      </w:r>
      <w:r w:rsidR="00C37BE9">
        <w:rPr>
          <w:sz w:val="18"/>
          <w:szCs w:val="20"/>
        </w:rPr>
        <w:t xml:space="preserve">early </w:t>
      </w:r>
      <w:r w:rsidRPr="00C9228B">
        <w:rPr>
          <w:sz w:val="18"/>
          <w:szCs w:val="20"/>
        </w:rPr>
        <w:t xml:space="preserve">in </w:t>
      </w:r>
      <w:r w:rsidR="007E398A">
        <w:rPr>
          <w:sz w:val="18"/>
          <w:szCs w:val="20"/>
        </w:rPr>
        <w:t>the fall</w:t>
      </w:r>
      <w:r w:rsidRPr="00C9228B">
        <w:rPr>
          <w:sz w:val="18"/>
          <w:szCs w:val="20"/>
        </w:rPr>
        <w:t xml:space="preserve">.  Among these students, all of the BCSSE scale scores were weakly but significantly related to MAP-Works’ “Satisfaction with the Institution” scale.  The </w:t>
      </w:r>
      <w:r w:rsidR="007E5C65" w:rsidRPr="00C9228B">
        <w:rPr>
          <w:sz w:val="18"/>
          <w:szCs w:val="20"/>
        </w:rPr>
        <w:t>strongest correlations to satisfaction were those for “Perceived Academic Preparation” (</w:t>
      </w:r>
      <w:proofErr w:type="spellStart"/>
      <w:r w:rsidR="007E5C65" w:rsidRPr="00C9228B">
        <w:rPr>
          <w:sz w:val="18"/>
          <w:szCs w:val="20"/>
        </w:rPr>
        <w:t>r</w:t>
      </w:r>
      <w:r w:rsidR="007E398A">
        <w:rPr>
          <w:sz w:val="18"/>
          <w:szCs w:val="20"/>
          <w:vertAlign w:val="subscript"/>
        </w:rPr>
        <w:t>pearson</w:t>
      </w:r>
      <w:proofErr w:type="spellEnd"/>
      <w:r w:rsidR="007E5C65" w:rsidRPr="00C9228B">
        <w:rPr>
          <w:sz w:val="18"/>
          <w:szCs w:val="20"/>
        </w:rPr>
        <w:t>=0.20), “Expected Academic Perseverance” (r=0.17), and “Importance of Campus Environment” (r=0.16).</w:t>
      </w:r>
    </w:p>
    <w:p w:rsidR="007E5C65" w:rsidRPr="00C9228B" w:rsidRDefault="007E5C65">
      <w:pPr>
        <w:rPr>
          <w:sz w:val="18"/>
          <w:szCs w:val="20"/>
        </w:rPr>
      </w:pPr>
      <w:r w:rsidRPr="00C9228B">
        <w:rPr>
          <w:b/>
          <w:sz w:val="18"/>
          <w:szCs w:val="20"/>
        </w:rPr>
        <w:t>NSSE</w:t>
      </w:r>
      <w:r w:rsidRPr="00C9228B">
        <w:rPr>
          <w:sz w:val="18"/>
          <w:szCs w:val="20"/>
        </w:rPr>
        <w:t>: Among the 600 BCSSE-NSSE participants who answered the NSSE question “</w:t>
      </w:r>
      <w:r w:rsidR="005C1EF0" w:rsidRPr="00C9228B">
        <w:rPr>
          <w:sz w:val="18"/>
          <w:szCs w:val="20"/>
        </w:rPr>
        <w:t>How would you evaluate your entire educational experience at this institution?</w:t>
      </w:r>
      <w:proofErr w:type="gramStart"/>
      <w:r w:rsidR="005C1EF0" w:rsidRPr="00C9228B">
        <w:rPr>
          <w:sz w:val="18"/>
          <w:szCs w:val="20"/>
        </w:rPr>
        <w:t>”</w:t>
      </w:r>
      <w:r w:rsidR="007E398A">
        <w:rPr>
          <w:sz w:val="18"/>
          <w:szCs w:val="20"/>
        </w:rPr>
        <w:t>.</w:t>
      </w:r>
      <w:proofErr w:type="gramEnd"/>
      <w:r w:rsidRPr="00C9228B">
        <w:rPr>
          <w:sz w:val="18"/>
          <w:szCs w:val="20"/>
        </w:rPr>
        <w:t xml:space="preserve">   </w:t>
      </w:r>
      <w:r w:rsidR="005C1EF0" w:rsidRPr="00C9228B">
        <w:rPr>
          <w:sz w:val="18"/>
          <w:szCs w:val="20"/>
        </w:rPr>
        <w:t>Several of the BCSSE scales were weakly but significantly correlated to their rating.  The strongest associations were with “High School Learning Strategies” (</w:t>
      </w:r>
      <w:proofErr w:type="spellStart"/>
      <w:r w:rsidR="005C1EF0" w:rsidRPr="00C9228B">
        <w:rPr>
          <w:sz w:val="18"/>
          <w:szCs w:val="20"/>
        </w:rPr>
        <w:t>r</w:t>
      </w:r>
      <w:r w:rsidR="007E398A">
        <w:rPr>
          <w:sz w:val="18"/>
          <w:szCs w:val="20"/>
          <w:vertAlign w:val="subscript"/>
        </w:rPr>
        <w:t>pearson</w:t>
      </w:r>
      <w:proofErr w:type="spellEnd"/>
      <w:r w:rsidR="005C1EF0" w:rsidRPr="00C9228B">
        <w:rPr>
          <w:sz w:val="18"/>
          <w:szCs w:val="20"/>
        </w:rPr>
        <w:t>=0.15), “Expected Academic Perseverance” (r=0.14), and “Perceived academic Preparation (r=0.14).</w:t>
      </w:r>
    </w:p>
    <w:sectPr w:rsidR="007E5C65" w:rsidRPr="00C9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B380A"/>
    <w:multiLevelType w:val="hybridMultilevel"/>
    <w:tmpl w:val="20141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B16B9"/>
    <w:multiLevelType w:val="hybridMultilevel"/>
    <w:tmpl w:val="BFDE2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EB"/>
    <w:rsid w:val="000066C1"/>
    <w:rsid w:val="00082B66"/>
    <w:rsid w:val="00123E1F"/>
    <w:rsid w:val="0015055B"/>
    <w:rsid w:val="002E1BC6"/>
    <w:rsid w:val="003136E2"/>
    <w:rsid w:val="003B6FDE"/>
    <w:rsid w:val="0047111C"/>
    <w:rsid w:val="004C33EE"/>
    <w:rsid w:val="00577EA6"/>
    <w:rsid w:val="005A2744"/>
    <w:rsid w:val="005C1EF0"/>
    <w:rsid w:val="005E2178"/>
    <w:rsid w:val="00763341"/>
    <w:rsid w:val="00786AD1"/>
    <w:rsid w:val="007E398A"/>
    <w:rsid w:val="007E5C65"/>
    <w:rsid w:val="00820E18"/>
    <w:rsid w:val="00A80599"/>
    <w:rsid w:val="00B37F1C"/>
    <w:rsid w:val="00B41DEB"/>
    <w:rsid w:val="00C37BE9"/>
    <w:rsid w:val="00C9228B"/>
    <w:rsid w:val="00D31B82"/>
    <w:rsid w:val="00DB2FB8"/>
    <w:rsid w:val="00E86ED7"/>
    <w:rsid w:val="00EA5DEB"/>
    <w:rsid w:val="00EB4BA8"/>
    <w:rsid w:val="00EB71C1"/>
    <w:rsid w:val="00F214CA"/>
    <w:rsid w:val="00F8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79EE"/>
  <w15:chartTrackingRefBased/>
  <w15:docId w15:val="{C05DAC9D-BEE1-44D0-8A4C-81917C05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A1D"/>
    <w:pPr>
      <w:ind w:left="720"/>
      <w:contextualSpacing/>
    </w:pPr>
  </w:style>
  <w:style w:type="paragraph" w:styleId="BalloonText">
    <w:name w:val="Balloon Text"/>
    <w:basedOn w:val="Normal"/>
    <w:link w:val="BalloonTextChar"/>
    <w:uiPriority w:val="99"/>
    <w:semiHidden/>
    <w:unhideWhenUsed/>
    <w:rsid w:val="00C92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Batty</dc:creator>
  <cp:keywords/>
  <dc:description/>
  <cp:lastModifiedBy>Philip Batty</cp:lastModifiedBy>
  <cp:revision>6</cp:revision>
  <cp:lastPrinted>2017-03-30T18:11:00Z</cp:lastPrinted>
  <dcterms:created xsi:type="dcterms:W3CDTF">2017-03-02T20:29:00Z</dcterms:created>
  <dcterms:modified xsi:type="dcterms:W3CDTF">2017-03-30T18:27:00Z</dcterms:modified>
</cp:coreProperties>
</file>