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8740" w14:textId="77777777" w:rsidR="00C02D92" w:rsidRPr="00DD5F1F" w:rsidRDefault="00C02D92" w:rsidP="00EA4CE5">
      <w:pPr>
        <w:pStyle w:val="Header"/>
      </w:pPr>
      <w:r w:rsidRPr="00DD5F1F">
        <w:rPr>
          <w:noProof/>
        </w:rPr>
        <w:drawing>
          <wp:anchor distT="152400" distB="152400" distL="152400" distR="152400" simplePos="0" relativeHeight="251659264" behindDoc="1" locked="0" layoutInCell="1" allowOverlap="1" wp14:anchorId="30135F78" wp14:editId="7242416D">
            <wp:simplePos x="0" y="0"/>
            <wp:positionH relativeFrom="page">
              <wp:posOffset>-266700</wp:posOffset>
            </wp:positionH>
            <wp:positionV relativeFrom="page">
              <wp:posOffset>-266700</wp:posOffset>
            </wp:positionV>
            <wp:extent cx="8305800" cy="105918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5"/>
                    <a:stretch>
                      <a:fillRect/>
                    </a:stretch>
                  </pic:blipFill>
                  <pic:spPr>
                    <a:xfrm>
                      <a:off x="0" y="0"/>
                      <a:ext cx="8305800" cy="10591800"/>
                    </a:xfrm>
                    <a:prstGeom prst="rect">
                      <a:avLst/>
                    </a:prstGeom>
                    <a:ln w="12700" cap="flat">
                      <a:noFill/>
                      <a:miter lim="400000"/>
                    </a:ln>
                    <a:effectLst/>
                  </pic:spPr>
                </pic:pic>
              </a:graphicData>
            </a:graphic>
          </wp:anchor>
        </w:drawing>
      </w:r>
    </w:p>
    <w:p w14:paraId="51FBA446" w14:textId="77777777" w:rsidR="00C02D92" w:rsidRPr="00DD5F1F" w:rsidRDefault="00C02D92" w:rsidP="00C02D92">
      <w:pPr>
        <w:pStyle w:val="BodyA"/>
        <w:jc w:val="center"/>
        <w:rPr>
          <w:rFonts w:eastAsia="Calibri" w:cstheme="minorHAnsi"/>
          <w:b/>
          <w:bCs/>
          <w:sz w:val="28"/>
        </w:rPr>
      </w:pPr>
    </w:p>
    <w:p w14:paraId="0023FD22" w14:textId="4DF1D816" w:rsidR="00C02D92" w:rsidRPr="00DD5F1F" w:rsidRDefault="00C02D92" w:rsidP="00C02D92">
      <w:pPr>
        <w:pStyle w:val="BodyA"/>
        <w:jc w:val="center"/>
        <w:rPr>
          <w:rFonts w:eastAsia="Calibri" w:cstheme="minorHAnsi"/>
          <w:b/>
          <w:bCs/>
          <w:sz w:val="28"/>
        </w:rPr>
      </w:pPr>
      <w:r w:rsidRPr="00DD5F1F">
        <w:rPr>
          <w:rFonts w:eastAsia="Calibri" w:cstheme="minorHAnsi"/>
          <w:b/>
          <w:bCs/>
          <w:sz w:val="28"/>
        </w:rPr>
        <w:t>Academic Policies and Standards Committee</w:t>
      </w:r>
    </w:p>
    <w:p w14:paraId="7FB2BA98" w14:textId="77777777" w:rsidR="00C02D92" w:rsidRPr="00DD5F1F" w:rsidRDefault="00C02D92" w:rsidP="00C02D92">
      <w:pPr>
        <w:pStyle w:val="BodyA"/>
        <w:jc w:val="center"/>
        <w:rPr>
          <w:rFonts w:eastAsia="Calibri" w:cstheme="minorHAnsi"/>
          <w:bCs/>
        </w:rPr>
      </w:pPr>
      <w:r w:rsidRPr="00DD5F1F">
        <w:rPr>
          <w:rFonts w:eastAsia="Calibri" w:cstheme="minorHAnsi"/>
        </w:rPr>
        <w:t xml:space="preserve">Raymond Higbea, Chair </w:t>
      </w:r>
      <w:r w:rsidRPr="00DD5F1F">
        <w:rPr>
          <w:rFonts w:eastAsia="Calibri" w:cstheme="minorHAnsi"/>
          <w:bCs/>
        </w:rPr>
        <w:t>2021-2022</w:t>
      </w:r>
    </w:p>
    <w:p w14:paraId="41FEF35F" w14:textId="3DD0B9A4" w:rsidR="00C02D92" w:rsidRPr="00DD5F1F" w:rsidRDefault="002347B7" w:rsidP="00C02D92">
      <w:pPr>
        <w:pStyle w:val="BodyA"/>
        <w:jc w:val="center"/>
        <w:rPr>
          <w:rFonts w:eastAsia="Calibri" w:cstheme="minorHAnsi"/>
        </w:rPr>
      </w:pPr>
      <w:r w:rsidRPr="00DD5F1F">
        <w:rPr>
          <w:rFonts w:eastAsia="Calibri" w:cstheme="minorHAnsi"/>
        </w:rPr>
        <w:t>Meeting Minutes</w:t>
      </w:r>
    </w:p>
    <w:p w14:paraId="6CCB4A64" w14:textId="1F3D736F" w:rsidR="00C02D92" w:rsidRPr="00DD5F1F" w:rsidRDefault="00C90F1F" w:rsidP="00C02D92">
      <w:pPr>
        <w:pStyle w:val="BodyA"/>
        <w:jc w:val="center"/>
        <w:rPr>
          <w:rFonts w:eastAsia="Calibri" w:cstheme="minorHAnsi"/>
        </w:rPr>
      </w:pPr>
      <w:r w:rsidRPr="00DD5F1F">
        <w:rPr>
          <w:rFonts w:eastAsia="Calibri" w:cstheme="minorHAnsi"/>
        </w:rPr>
        <w:t>Novem</w:t>
      </w:r>
      <w:r w:rsidR="00C02D92" w:rsidRPr="00DD5F1F">
        <w:rPr>
          <w:rFonts w:eastAsia="Calibri" w:cstheme="minorHAnsi"/>
        </w:rPr>
        <w:t xml:space="preserve">ber </w:t>
      </w:r>
      <w:r w:rsidRPr="00DD5F1F">
        <w:rPr>
          <w:rFonts w:eastAsia="Calibri" w:cstheme="minorHAnsi"/>
        </w:rPr>
        <w:t>4</w:t>
      </w:r>
      <w:r w:rsidR="00C02D92" w:rsidRPr="00DD5F1F">
        <w:rPr>
          <w:rFonts w:eastAsia="Calibri" w:cstheme="minorHAnsi"/>
        </w:rPr>
        <w:t>, 2021, 9 AM – 11 AM EDT</w:t>
      </w:r>
    </w:p>
    <w:p w14:paraId="4B2550B4" w14:textId="23F637BA" w:rsidR="00C90F1F" w:rsidRPr="00DD5F1F" w:rsidRDefault="00053B6A" w:rsidP="00C02D92">
      <w:pPr>
        <w:pStyle w:val="BodyA"/>
        <w:jc w:val="center"/>
        <w:rPr>
          <w:rStyle w:val="Hyperlink"/>
          <w:rFonts w:eastAsia="Calibri" w:cstheme="minorHAnsi"/>
        </w:rPr>
      </w:pPr>
      <w:hyperlink r:id="rId6" w:history="1">
        <w:r w:rsidR="00C90F1F" w:rsidRPr="00DD5F1F">
          <w:rPr>
            <w:rStyle w:val="Hyperlink"/>
            <w:rFonts w:eastAsia="Calibri" w:cstheme="minorHAnsi"/>
          </w:rPr>
          <w:t>Zoom Meeting Link</w:t>
        </w:r>
      </w:hyperlink>
    </w:p>
    <w:p w14:paraId="649DAA89" w14:textId="04BDD5E6" w:rsidR="00DD3AEB" w:rsidRPr="00DD5F1F" w:rsidRDefault="00DD3AEB" w:rsidP="00DD3AEB">
      <w:r w:rsidRPr="00DD5F1F">
        <w:t>Present:</w:t>
      </w:r>
    </w:p>
    <w:p w14:paraId="283E9A9A" w14:textId="77777777" w:rsidR="00DD3AEB" w:rsidRPr="00DD5F1F" w:rsidRDefault="00DD3AEB" w:rsidP="00DD3AEB"/>
    <w:p w14:paraId="49F789E7" w14:textId="77777777" w:rsidR="00EA4CE5" w:rsidRPr="00DD5F1F" w:rsidRDefault="00EA4CE5" w:rsidP="00A40C7C">
      <w:pPr>
        <w:ind w:left="4320" w:hanging="4320"/>
        <w:rPr>
          <w:u w:val="single"/>
        </w:rPr>
        <w:sectPr w:rsidR="00EA4CE5" w:rsidRPr="00DD5F1F">
          <w:pgSz w:w="12240" w:h="15840"/>
          <w:pgMar w:top="1440" w:right="1440" w:bottom="1440" w:left="1440" w:header="720" w:footer="720" w:gutter="0"/>
          <w:cols w:space="720"/>
          <w:docGrid w:linePitch="360"/>
        </w:sectPr>
      </w:pPr>
    </w:p>
    <w:p w14:paraId="01C384C4" w14:textId="01162274" w:rsidR="00DD3AEB" w:rsidRPr="00DD5F1F" w:rsidRDefault="001203D1" w:rsidP="00A40C7C">
      <w:pPr>
        <w:ind w:left="4320" w:hanging="4320"/>
        <w:rPr>
          <w:u w:val="single"/>
        </w:rPr>
      </w:pPr>
      <w:r w:rsidRPr="00DD5F1F">
        <w:rPr>
          <w:u w:val="single"/>
        </w:rPr>
        <w:t xml:space="preserve">College of Liberal </w:t>
      </w:r>
      <w:r w:rsidR="00A40C7C" w:rsidRPr="00DD5F1F">
        <w:rPr>
          <w:u w:val="single"/>
        </w:rPr>
        <w:t>Arts and Sciences</w:t>
      </w:r>
      <w:r w:rsidR="002A3826">
        <w:rPr>
          <w:u w:val="single"/>
        </w:rPr>
        <w:t xml:space="preserve">                     </w:t>
      </w:r>
    </w:p>
    <w:p w14:paraId="36850683" w14:textId="3A1D354E" w:rsidR="00A40C7C" w:rsidRPr="00DD5F1F" w:rsidRDefault="00A40C7C" w:rsidP="00DD3AEB">
      <w:r w:rsidRPr="00DD5F1F">
        <w:t>Carlson, Todd</w:t>
      </w:r>
    </w:p>
    <w:p w14:paraId="45BB3641" w14:textId="5D606E0D" w:rsidR="00A40C7C" w:rsidRPr="00DD5F1F" w:rsidRDefault="00A40C7C" w:rsidP="00DD3AEB">
      <w:r w:rsidRPr="00DD5F1F">
        <w:t xml:space="preserve">Losey, Kay </w:t>
      </w:r>
    </w:p>
    <w:p w14:paraId="0D92B513" w14:textId="0DECEFAB" w:rsidR="00A40C7C" w:rsidRPr="00DD5F1F" w:rsidRDefault="00A40C7C" w:rsidP="00DD3AEB">
      <w:r w:rsidRPr="00DD5F1F">
        <w:t>Shapiro-Shapin, Carolyn</w:t>
      </w:r>
    </w:p>
    <w:p w14:paraId="42854676" w14:textId="55B31B95" w:rsidR="00A40C7C" w:rsidRPr="00DD5F1F" w:rsidRDefault="00A40C7C" w:rsidP="00DD3AEB">
      <w:r w:rsidRPr="00DD5F1F">
        <w:t>Wildey, Mikhila</w:t>
      </w:r>
    </w:p>
    <w:p w14:paraId="53360044" w14:textId="77777777" w:rsidR="00A40C7C" w:rsidRPr="00DD5F1F" w:rsidRDefault="00A40C7C" w:rsidP="00DD3AEB"/>
    <w:p w14:paraId="59B50213" w14:textId="4331EAFA" w:rsidR="00A40C7C" w:rsidRPr="00DD5F1F" w:rsidRDefault="00A40C7C" w:rsidP="00DD3AEB">
      <w:pPr>
        <w:rPr>
          <w:u w:val="single"/>
        </w:rPr>
      </w:pPr>
      <w:r w:rsidRPr="00DD5F1F">
        <w:rPr>
          <w:u w:val="single"/>
        </w:rPr>
        <w:t>Seidman College of Business</w:t>
      </w:r>
    </w:p>
    <w:p w14:paraId="101D76C9" w14:textId="6640C67B" w:rsidR="00A40C7C" w:rsidRPr="00DD5F1F" w:rsidRDefault="00A40C7C" w:rsidP="00DD3AEB">
      <w:r w:rsidRPr="00DD5F1F">
        <w:t>Jones-Rikkers, Catherine</w:t>
      </w:r>
    </w:p>
    <w:p w14:paraId="46D4A167" w14:textId="77777777" w:rsidR="00A40C7C" w:rsidRPr="00DD5F1F" w:rsidRDefault="00A40C7C" w:rsidP="00DD3AEB"/>
    <w:p w14:paraId="5E0B4342" w14:textId="7A9F9B7F" w:rsidR="00A40C7C" w:rsidRPr="00DD5F1F" w:rsidRDefault="00A40C7C" w:rsidP="00DD3AEB">
      <w:pPr>
        <w:rPr>
          <w:u w:val="single"/>
        </w:rPr>
      </w:pPr>
      <w:r w:rsidRPr="00DD5F1F">
        <w:rPr>
          <w:u w:val="single"/>
        </w:rPr>
        <w:t>College of Community and Public Service</w:t>
      </w:r>
    </w:p>
    <w:p w14:paraId="71202E5D" w14:textId="74FDA0C5" w:rsidR="00A40C7C" w:rsidRPr="00DD5F1F" w:rsidRDefault="00A40C7C" w:rsidP="00DD3AEB">
      <w:r w:rsidRPr="00DD5F1F">
        <w:t>Higbea, Raymond (Chair)</w:t>
      </w:r>
    </w:p>
    <w:p w14:paraId="581D3EC3" w14:textId="77777777" w:rsidR="00A40C7C" w:rsidRPr="00DD5F1F" w:rsidRDefault="00A40C7C" w:rsidP="00DD3AEB"/>
    <w:p w14:paraId="410D8EEA" w14:textId="220ABCA4" w:rsidR="00A40C7C" w:rsidRPr="00DD5F1F" w:rsidRDefault="00A40C7C" w:rsidP="00DD3AEB">
      <w:pPr>
        <w:rPr>
          <w:u w:val="single"/>
        </w:rPr>
      </w:pPr>
      <w:r w:rsidRPr="00DD5F1F">
        <w:rPr>
          <w:u w:val="single"/>
        </w:rPr>
        <w:t>College of Education</w:t>
      </w:r>
    </w:p>
    <w:p w14:paraId="40308FD5" w14:textId="6E42F064" w:rsidR="00A40C7C" w:rsidRPr="00DD5F1F" w:rsidRDefault="00A40C7C" w:rsidP="00DD3AEB">
      <w:r w:rsidRPr="00DD5F1F">
        <w:t>Diarrassouba, Nagnon</w:t>
      </w:r>
    </w:p>
    <w:p w14:paraId="10F3A663" w14:textId="77777777" w:rsidR="00A40C7C" w:rsidRPr="00DD5F1F" w:rsidRDefault="00A40C7C" w:rsidP="00DD3AEB"/>
    <w:p w14:paraId="190D10A9" w14:textId="5E35EC33" w:rsidR="00A40C7C" w:rsidRPr="00DD5F1F" w:rsidRDefault="00A40C7C" w:rsidP="00DD3AEB">
      <w:pPr>
        <w:rPr>
          <w:u w:val="single"/>
        </w:rPr>
      </w:pPr>
      <w:r w:rsidRPr="00DD5F1F">
        <w:rPr>
          <w:u w:val="single"/>
        </w:rPr>
        <w:t>Padnos College of Engineering and Computing</w:t>
      </w:r>
    </w:p>
    <w:p w14:paraId="2544DF44" w14:textId="151432AB" w:rsidR="00A40C7C" w:rsidRDefault="00A40C7C" w:rsidP="00DD3AEB">
      <w:r w:rsidRPr="00DD5F1F">
        <w:t>Corneal, Lindsay</w:t>
      </w:r>
      <w:r w:rsidR="002A3826">
        <w:t xml:space="preserve">                                                        </w:t>
      </w:r>
    </w:p>
    <w:p w14:paraId="42E87D13" w14:textId="6C130928" w:rsidR="002A3826" w:rsidRDefault="002A3826" w:rsidP="00DD3AEB"/>
    <w:p w14:paraId="3B193412" w14:textId="77777777" w:rsidR="002A3826" w:rsidRDefault="002A3826" w:rsidP="002A3826">
      <w:pPr>
        <w:ind w:left="4860" w:hanging="4860"/>
        <w:rPr>
          <w:u w:val="single"/>
        </w:rPr>
      </w:pPr>
      <w:r w:rsidRPr="002A3826">
        <w:rPr>
          <w:u w:val="single"/>
        </w:rPr>
        <w:t>Student Senate Representatives</w:t>
      </w:r>
    </w:p>
    <w:p w14:paraId="6D104552" w14:textId="0D2FDC7C" w:rsidR="00A40C7C" w:rsidRPr="00DD5F1F" w:rsidRDefault="002A3826" w:rsidP="002A3826">
      <w:pPr>
        <w:ind w:left="4860" w:hanging="4860"/>
      </w:pPr>
      <w:r w:rsidRPr="00DD5F1F">
        <w:t xml:space="preserve"> A. Mueller, J.</w:t>
      </w:r>
      <w:r>
        <w:t xml:space="preserve"> Frappi</w:t>
      </w:r>
      <w:r w:rsidRPr="00DD5F1F">
        <w:t xml:space="preserve"> </w:t>
      </w:r>
    </w:p>
    <w:p w14:paraId="24404617" w14:textId="00DBBCB6" w:rsidR="00A40C7C" w:rsidRPr="00DD5F1F" w:rsidRDefault="00A40C7C" w:rsidP="00537278">
      <w:pPr>
        <w:ind w:left="4860" w:hanging="4860"/>
        <w:rPr>
          <w:u w:val="single"/>
        </w:rPr>
      </w:pPr>
      <w:r w:rsidRPr="00DD5F1F">
        <w:rPr>
          <w:u w:val="single"/>
        </w:rPr>
        <w:t>College of Health Professions</w:t>
      </w:r>
    </w:p>
    <w:p w14:paraId="50CD9807" w14:textId="12F01231" w:rsidR="00A40C7C" w:rsidRPr="00DD5F1F" w:rsidRDefault="00A40C7C" w:rsidP="00537278">
      <w:pPr>
        <w:ind w:left="4860" w:hanging="4860"/>
      </w:pPr>
      <w:r w:rsidRPr="00DD5F1F">
        <w:t>Machnick, Kelly</w:t>
      </w:r>
    </w:p>
    <w:p w14:paraId="21B409FE" w14:textId="77777777" w:rsidR="00A40C7C" w:rsidRPr="00DD5F1F" w:rsidRDefault="00A40C7C" w:rsidP="00537278">
      <w:pPr>
        <w:ind w:left="4860" w:hanging="4860"/>
      </w:pPr>
    </w:p>
    <w:p w14:paraId="1EF6AF21" w14:textId="1182E0E7" w:rsidR="00A40C7C" w:rsidRPr="00DD5F1F" w:rsidRDefault="00A40C7C" w:rsidP="00537278">
      <w:pPr>
        <w:ind w:left="4860" w:hanging="4860"/>
        <w:rPr>
          <w:u w:val="single"/>
        </w:rPr>
      </w:pPr>
      <w:r w:rsidRPr="00DD5F1F">
        <w:rPr>
          <w:u w:val="single"/>
        </w:rPr>
        <w:t>Brooks College of Interdisciplinary Studies</w:t>
      </w:r>
    </w:p>
    <w:p w14:paraId="08E34A3E" w14:textId="341D19F1" w:rsidR="00A40C7C" w:rsidRPr="00DD5F1F" w:rsidRDefault="00A40C7C" w:rsidP="00537278">
      <w:pPr>
        <w:ind w:left="4860" w:hanging="4860"/>
      </w:pPr>
      <w:r w:rsidRPr="00DD5F1F">
        <w:t>Ripple, Darien</w:t>
      </w:r>
    </w:p>
    <w:p w14:paraId="12A3E1E0" w14:textId="77777777" w:rsidR="00A40C7C" w:rsidRPr="00DD5F1F" w:rsidRDefault="00A40C7C" w:rsidP="00537278">
      <w:pPr>
        <w:ind w:left="4860" w:hanging="4860"/>
      </w:pPr>
    </w:p>
    <w:p w14:paraId="5B79004A" w14:textId="27354E16" w:rsidR="00A40C7C" w:rsidRPr="00DD5F1F" w:rsidRDefault="00A40C7C" w:rsidP="00537278">
      <w:pPr>
        <w:ind w:left="4860" w:hanging="4860"/>
        <w:rPr>
          <w:u w:val="single"/>
        </w:rPr>
      </w:pPr>
      <w:r w:rsidRPr="00DD5F1F">
        <w:rPr>
          <w:u w:val="single"/>
        </w:rPr>
        <w:t>Kirkhof College of Nursing</w:t>
      </w:r>
    </w:p>
    <w:p w14:paraId="345C84E9" w14:textId="77777777" w:rsidR="00AD4764" w:rsidRPr="00DD5F1F" w:rsidRDefault="00A40C7C" w:rsidP="00AD4764">
      <w:r w:rsidRPr="00DD5F1F">
        <w:t>Slager, Dia</w:t>
      </w:r>
      <w:r w:rsidR="00AD4764" w:rsidRPr="00DD5F1F">
        <w:t>n</w:t>
      </w:r>
      <w:r w:rsidRPr="00DD5F1F">
        <w:t>ne</w:t>
      </w:r>
      <w:r w:rsidR="00AD4764" w:rsidRPr="00DD5F1F">
        <w:t xml:space="preserve"> (recording)</w:t>
      </w:r>
    </w:p>
    <w:p w14:paraId="430170BE" w14:textId="77777777" w:rsidR="00A40C7C" w:rsidRPr="00DD5F1F" w:rsidRDefault="00A40C7C" w:rsidP="00537278">
      <w:pPr>
        <w:ind w:left="4860" w:hanging="4860"/>
      </w:pPr>
    </w:p>
    <w:p w14:paraId="56A0D04B" w14:textId="758097FA" w:rsidR="00A40C7C" w:rsidRPr="00DD5F1F" w:rsidRDefault="00A40C7C" w:rsidP="00537278">
      <w:pPr>
        <w:ind w:left="4860" w:hanging="4860"/>
        <w:rPr>
          <w:u w:val="single"/>
        </w:rPr>
      </w:pPr>
      <w:r w:rsidRPr="00DD5F1F">
        <w:rPr>
          <w:u w:val="single"/>
        </w:rPr>
        <w:t>University Libraries</w:t>
      </w:r>
    </w:p>
    <w:p w14:paraId="7263B0C0" w14:textId="5541F922" w:rsidR="00A40C7C" w:rsidRPr="00DD5F1F" w:rsidRDefault="00A40C7C" w:rsidP="00537278">
      <w:pPr>
        <w:ind w:left="4860" w:hanging="4860"/>
      </w:pPr>
      <w:r w:rsidRPr="00DD5F1F">
        <w:t>Beasecker, Robert</w:t>
      </w:r>
    </w:p>
    <w:p w14:paraId="21B1CAA4" w14:textId="77777777" w:rsidR="00EA4CE5" w:rsidRPr="00DD5F1F" w:rsidRDefault="00EA4CE5" w:rsidP="00537278">
      <w:pPr>
        <w:ind w:left="4860" w:hanging="4860"/>
      </w:pPr>
    </w:p>
    <w:p w14:paraId="3CB7C321" w14:textId="42571C4C" w:rsidR="00EA4CE5" w:rsidRPr="00DD5F1F" w:rsidRDefault="00EA4CE5" w:rsidP="00537278">
      <w:pPr>
        <w:ind w:left="4860" w:hanging="4860"/>
        <w:rPr>
          <w:u w:val="single"/>
        </w:rPr>
      </w:pPr>
      <w:r w:rsidRPr="00DD5F1F">
        <w:rPr>
          <w:u w:val="single"/>
        </w:rPr>
        <w:t>At Large—Elected by and from UAS</w:t>
      </w:r>
    </w:p>
    <w:p w14:paraId="571C462A" w14:textId="77777777" w:rsidR="00EA4CE5" w:rsidRPr="00DD5F1F" w:rsidRDefault="00EA4CE5" w:rsidP="00537278">
      <w:pPr>
        <w:ind w:left="4860" w:hanging="4860"/>
      </w:pPr>
    </w:p>
    <w:p w14:paraId="4624E61C" w14:textId="624EBC73" w:rsidR="00EA4CE5" w:rsidRPr="00DD5F1F" w:rsidRDefault="00EA4CE5" w:rsidP="00537278">
      <w:pPr>
        <w:ind w:left="4860" w:hanging="4860"/>
        <w:rPr>
          <w:u w:val="single"/>
        </w:rPr>
      </w:pPr>
      <w:r w:rsidRPr="00DD5F1F">
        <w:rPr>
          <w:u w:val="single"/>
        </w:rPr>
        <w:t>Provost Designee</w:t>
      </w:r>
    </w:p>
    <w:p w14:paraId="109C96B8" w14:textId="5A82F43C" w:rsidR="00EA4CE5" w:rsidRDefault="00EA4CE5" w:rsidP="00537278">
      <w:pPr>
        <w:ind w:left="4860" w:hanging="4860"/>
      </w:pPr>
      <w:r w:rsidRPr="00DD5F1F">
        <w:t>Benet, Suzeanne</w:t>
      </w:r>
    </w:p>
    <w:p w14:paraId="6CE09B54" w14:textId="7FB3D72E" w:rsidR="002A3826" w:rsidRDefault="002A3826" w:rsidP="00537278">
      <w:pPr>
        <w:ind w:left="4860" w:hanging="4860"/>
      </w:pPr>
    </w:p>
    <w:p w14:paraId="3152EEAE" w14:textId="559B6380" w:rsidR="002A3826" w:rsidRDefault="002A3826" w:rsidP="00537278">
      <w:pPr>
        <w:ind w:left="4860" w:hanging="4860"/>
      </w:pPr>
    </w:p>
    <w:p w14:paraId="4544FA9E" w14:textId="77777777" w:rsidR="002A3826" w:rsidRPr="00DD5F1F" w:rsidRDefault="002A3826" w:rsidP="00537278">
      <w:pPr>
        <w:ind w:left="4860" w:hanging="4860"/>
      </w:pPr>
    </w:p>
    <w:p w14:paraId="6153571E" w14:textId="77777777" w:rsidR="00A40C7C" w:rsidRPr="00DD5F1F" w:rsidRDefault="00A40C7C" w:rsidP="00DD3AEB"/>
    <w:p w14:paraId="138019E8" w14:textId="77777777" w:rsidR="00EA4CE5" w:rsidRPr="00DD5F1F" w:rsidRDefault="00EA4CE5" w:rsidP="00DD3AEB">
      <w:pPr>
        <w:sectPr w:rsidR="00EA4CE5" w:rsidRPr="00DD5F1F" w:rsidSect="00EA4CE5">
          <w:type w:val="continuous"/>
          <w:pgSz w:w="12240" w:h="15840"/>
          <w:pgMar w:top="1440" w:right="1440" w:bottom="1440" w:left="1440" w:header="720" w:footer="720" w:gutter="0"/>
          <w:cols w:num="2" w:space="0"/>
          <w:docGrid w:linePitch="360"/>
        </w:sectPr>
      </w:pPr>
    </w:p>
    <w:p w14:paraId="78A949D8" w14:textId="387249A5" w:rsidR="00A40C7C" w:rsidRPr="00DD5F1F" w:rsidRDefault="00A40C7C" w:rsidP="00DD3AEB"/>
    <w:p w14:paraId="55B338B8" w14:textId="77777777" w:rsidR="00A40C7C" w:rsidRPr="00DD5F1F" w:rsidRDefault="00A40C7C" w:rsidP="00DD3AEB"/>
    <w:p w14:paraId="29C71683" w14:textId="17DC1DFE" w:rsidR="00C02D92" w:rsidRPr="00DD5F1F" w:rsidRDefault="00C02D92" w:rsidP="00C02D92">
      <w:pPr>
        <w:pStyle w:val="BodyA"/>
        <w:numPr>
          <w:ilvl w:val="0"/>
          <w:numId w:val="1"/>
        </w:numPr>
        <w:rPr>
          <w:rFonts w:eastAsia="Calibri" w:cstheme="minorHAnsi"/>
        </w:rPr>
      </w:pPr>
      <w:r w:rsidRPr="00DD5F1F">
        <w:rPr>
          <w:rFonts w:eastAsia="Calibri" w:cstheme="minorHAnsi"/>
        </w:rPr>
        <w:t>Welcome</w:t>
      </w:r>
    </w:p>
    <w:p w14:paraId="727750DE" w14:textId="320F542D" w:rsidR="00C02D92" w:rsidRPr="00DD5F1F" w:rsidRDefault="00C02D92" w:rsidP="00C02D92">
      <w:pPr>
        <w:pStyle w:val="BodyA"/>
        <w:numPr>
          <w:ilvl w:val="0"/>
          <w:numId w:val="1"/>
        </w:numPr>
        <w:rPr>
          <w:rFonts w:eastAsia="Calibri" w:cstheme="minorHAnsi"/>
        </w:rPr>
      </w:pPr>
      <w:r w:rsidRPr="00DD5F1F">
        <w:rPr>
          <w:rFonts w:eastAsia="Calibri" w:cstheme="minorHAnsi"/>
        </w:rPr>
        <w:t xml:space="preserve">Review and approval of minutes from </w:t>
      </w:r>
      <w:r w:rsidR="00166ABD" w:rsidRPr="00DD5F1F">
        <w:rPr>
          <w:rFonts w:eastAsia="Calibri" w:cstheme="minorHAnsi"/>
        </w:rPr>
        <w:t>November</w:t>
      </w:r>
      <w:r w:rsidRPr="00DD5F1F">
        <w:rPr>
          <w:rFonts w:eastAsia="Calibri" w:cstheme="minorHAnsi"/>
        </w:rPr>
        <w:t xml:space="preserve"> meeting</w:t>
      </w:r>
    </w:p>
    <w:p w14:paraId="4D030FA8" w14:textId="2DAC8E1B" w:rsidR="005A364D" w:rsidRPr="00DD5F1F" w:rsidRDefault="005A364D" w:rsidP="005A364D">
      <w:pPr>
        <w:pStyle w:val="BodyA"/>
        <w:ind w:left="1440"/>
        <w:rPr>
          <w:rFonts w:eastAsia="Calibri" w:cstheme="minorHAnsi"/>
        </w:rPr>
      </w:pPr>
      <w:r w:rsidRPr="00DD5F1F">
        <w:rPr>
          <w:rFonts w:eastAsia="Calibri" w:cstheme="minorHAnsi"/>
        </w:rPr>
        <w:t xml:space="preserve">Motion to approve: </w:t>
      </w:r>
      <w:r w:rsidR="00166ABD" w:rsidRPr="00DD5F1F">
        <w:rPr>
          <w:rFonts w:eastAsia="Calibri" w:cstheme="minorHAnsi"/>
        </w:rPr>
        <w:t xml:space="preserve">L. </w:t>
      </w:r>
      <w:r w:rsidR="00475CA2" w:rsidRPr="00DD5F1F">
        <w:rPr>
          <w:rFonts w:eastAsia="Calibri" w:cstheme="minorHAnsi"/>
        </w:rPr>
        <w:t>Corneal</w:t>
      </w:r>
      <w:r w:rsidRPr="00DD5F1F">
        <w:rPr>
          <w:rFonts w:eastAsia="Calibri" w:cstheme="minorHAnsi"/>
        </w:rPr>
        <w:t xml:space="preserve">, Second: </w:t>
      </w:r>
      <w:r w:rsidR="00166ABD" w:rsidRPr="00DD5F1F">
        <w:rPr>
          <w:rFonts w:eastAsia="Calibri" w:cstheme="minorHAnsi"/>
        </w:rPr>
        <w:t xml:space="preserve">C. </w:t>
      </w:r>
      <w:r w:rsidR="00475CA2" w:rsidRPr="00DD5F1F">
        <w:rPr>
          <w:rFonts w:eastAsia="Calibri" w:cstheme="minorHAnsi"/>
        </w:rPr>
        <w:t>Shapiro-Shapin</w:t>
      </w:r>
      <w:r w:rsidRPr="00DD5F1F">
        <w:rPr>
          <w:rFonts w:eastAsia="Calibri" w:cstheme="minorHAnsi"/>
        </w:rPr>
        <w:t>; Motion carried.</w:t>
      </w:r>
    </w:p>
    <w:p w14:paraId="097C912D" w14:textId="77777777" w:rsidR="005A364D" w:rsidRPr="00DD5F1F" w:rsidRDefault="005A364D" w:rsidP="005A364D">
      <w:pPr>
        <w:pStyle w:val="BodyA"/>
        <w:ind w:left="720"/>
        <w:rPr>
          <w:rFonts w:eastAsia="Calibri" w:cstheme="minorHAnsi"/>
        </w:rPr>
      </w:pPr>
    </w:p>
    <w:p w14:paraId="51A04D35" w14:textId="08362A55" w:rsidR="00C02D92" w:rsidRPr="00DD5F1F" w:rsidRDefault="00C02D92" w:rsidP="00C02D92">
      <w:pPr>
        <w:pStyle w:val="BodyA"/>
        <w:numPr>
          <w:ilvl w:val="0"/>
          <w:numId w:val="1"/>
        </w:numPr>
        <w:rPr>
          <w:rFonts w:eastAsia="Calibri" w:cstheme="minorHAnsi"/>
        </w:rPr>
      </w:pPr>
      <w:r w:rsidRPr="00DD5F1F">
        <w:rPr>
          <w:rFonts w:eastAsia="Calibri" w:cstheme="minorHAnsi"/>
        </w:rPr>
        <w:t>Old Business</w:t>
      </w:r>
    </w:p>
    <w:p w14:paraId="2102B9DA" w14:textId="3D747FEE" w:rsidR="00C02D92" w:rsidRPr="00DD5F1F" w:rsidRDefault="005A364D" w:rsidP="00673FB4">
      <w:pPr>
        <w:pStyle w:val="BodyA"/>
        <w:ind w:left="1170" w:firstLine="270"/>
        <w:rPr>
          <w:rFonts w:eastAsia="Calibri" w:cstheme="minorHAnsi"/>
        </w:rPr>
      </w:pPr>
      <w:r w:rsidRPr="00DD5F1F">
        <w:rPr>
          <w:rFonts w:eastAsia="Calibri" w:cstheme="minorHAnsi"/>
          <w:b/>
          <w:u w:val="single"/>
        </w:rPr>
        <w:t xml:space="preserve">a. </w:t>
      </w:r>
      <w:r w:rsidR="00C02D92" w:rsidRPr="00DD5F1F">
        <w:rPr>
          <w:rFonts w:eastAsia="Calibri" w:cstheme="minorHAnsi"/>
          <w:b/>
          <w:u w:val="single"/>
        </w:rPr>
        <w:t>Prior Learning Charge</w:t>
      </w:r>
      <w:r w:rsidR="00C02D92" w:rsidRPr="00DD5F1F">
        <w:rPr>
          <w:rFonts w:eastAsia="Calibri" w:cstheme="minorHAnsi"/>
        </w:rPr>
        <w:t xml:space="preserve"> – report </w:t>
      </w:r>
      <w:r w:rsidR="00C90F1F" w:rsidRPr="00DD5F1F">
        <w:rPr>
          <w:rFonts w:eastAsia="Calibri" w:cstheme="minorHAnsi"/>
        </w:rPr>
        <w:t>to</w:t>
      </w:r>
      <w:r w:rsidR="00C02D92" w:rsidRPr="00DD5F1F">
        <w:rPr>
          <w:rFonts w:eastAsia="Calibri" w:cstheme="minorHAnsi"/>
        </w:rPr>
        <w:t xml:space="preserve"> ECS</w:t>
      </w:r>
    </w:p>
    <w:p w14:paraId="7C1FCD01" w14:textId="595C68CC" w:rsidR="005A364D" w:rsidRPr="00DD5F1F" w:rsidRDefault="005A364D" w:rsidP="005A364D">
      <w:pPr>
        <w:pStyle w:val="BodyA"/>
        <w:ind w:left="1440"/>
        <w:rPr>
          <w:rFonts w:eastAsia="Calibri" w:cstheme="minorHAnsi"/>
        </w:rPr>
      </w:pPr>
      <w:r w:rsidRPr="00DD5F1F">
        <w:rPr>
          <w:rFonts w:eastAsia="Calibri" w:cstheme="minorHAnsi"/>
        </w:rPr>
        <w:t xml:space="preserve">Higbea: ECS had no comments on the report. </w:t>
      </w:r>
      <w:r w:rsidR="00475CA2" w:rsidRPr="00DD5F1F">
        <w:rPr>
          <w:rFonts w:eastAsia="Calibri" w:cstheme="minorHAnsi"/>
        </w:rPr>
        <w:t>Supported by</w:t>
      </w:r>
      <w:r w:rsidRPr="00DD5F1F">
        <w:rPr>
          <w:rFonts w:eastAsia="Calibri" w:cstheme="minorHAnsi"/>
        </w:rPr>
        <w:t xml:space="preserve"> UAS vote 11/5/21</w:t>
      </w:r>
      <w:r w:rsidR="00475CA2" w:rsidRPr="00DD5F1F">
        <w:rPr>
          <w:rFonts w:eastAsia="Calibri" w:cstheme="minorHAnsi"/>
        </w:rPr>
        <w:t xml:space="preserve"> with immediate effect</w:t>
      </w:r>
      <w:r w:rsidRPr="00DD5F1F">
        <w:rPr>
          <w:rFonts w:eastAsia="Calibri" w:cstheme="minorHAnsi"/>
        </w:rPr>
        <w:t>.</w:t>
      </w:r>
    </w:p>
    <w:p w14:paraId="7716E9BE" w14:textId="77777777" w:rsidR="005A364D" w:rsidRPr="00DD5F1F" w:rsidRDefault="005A364D" w:rsidP="005A364D">
      <w:pPr>
        <w:pStyle w:val="BodyA"/>
        <w:ind w:left="1260" w:firstLine="180"/>
        <w:rPr>
          <w:rFonts w:eastAsia="Calibri" w:cstheme="minorHAnsi"/>
        </w:rPr>
      </w:pPr>
    </w:p>
    <w:p w14:paraId="4472D688" w14:textId="698D98A3" w:rsidR="00C90F1F" w:rsidRPr="00DD5F1F" w:rsidRDefault="00E63C49" w:rsidP="005A364D">
      <w:pPr>
        <w:pStyle w:val="BodyA"/>
        <w:ind w:left="1440"/>
        <w:rPr>
          <w:rStyle w:val="Hyperlink"/>
          <w:rFonts w:eastAsia="Calibri" w:cstheme="minorHAnsi"/>
        </w:rPr>
      </w:pPr>
      <w:r w:rsidRPr="00DD5F1F">
        <w:rPr>
          <w:rFonts w:eastAsia="Calibri" w:cstheme="minorHAnsi"/>
          <w:b/>
          <w:u w:val="single"/>
        </w:rPr>
        <w:t>b</w:t>
      </w:r>
      <w:r w:rsidR="00424343" w:rsidRPr="00DD5F1F">
        <w:rPr>
          <w:rFonts w:eastAsia="Calibri" w:cstheme="minorHAnsi"/>
          <w:b/>
          <w:u w:val="single"/>
        </w:rPr>
        <w:t xml:space="preserve">. </w:t>
      </w:r>
      <w:r w:rsidR="00C02D92" w:rsidRPr="00DD5F1F">
        <w:rPr>
          <w:rFonts w:eastAsia="Calibri" w:cstheme="minorHAnsi"/>
          <w:b/>
          <w:u w:val="single"/>
        </w:rPr>
        <w:t>Syllabi repository</w:t>
      </w:r>
      <w:r w:rsidR="00C02D92" w:rsidRPr="00DD5F1F">
        <w:rPr>
          <w:rFonts w:eastAsia="Calibri" w:cstheme="minorHAnsi"/>
        </w:rPr>
        <w:t xml:space="preserve"> – Mik</w:t>
      </w:r>
      <w:r w:rsidR="00424343" w:rsidRPr="00DD5F1F">
        <w:rPr>
          <w:rFonts w:eastAsia="Calibri" w:cstheme="minorHAnsi"/>
        </w:rPr>
        <w:t>hila</w:t>
      </w:r>
      <w:r w:rsidR="00C02D92" w:rsidRPr="00DD5F1F">
        <w:rPr>
          <w:rFonts w:eastAsia="Calibri" w:cstheme="minorHAnsi"/>
        </w:rPr>
        <w:t xml:space="preserve"> &amp; Kay</w:t>
      </w:r>
      <w:r w:rsidR="00C90F1F" w:rsidRPr="00DD5F1F">
        <w:rPr>
          <w:rFonts w:eastAsia="Calibri" w:cstheme="minorHAnsi"/>
        </w:rPr>
        <w:t xml:space="preserve"> </w:t>
      </w:r>
    </w:p>
    <w:p w14:paraId="2ED2BD35" w14:textId="50317207" w:rsidR="00424343" w:rsidRPr="00DD5F1F" w:rsidRDefault="00053B6A" w:rsidP="00424343">
      <w:pPr>
        <w:ind w:left="720" w:firstLine="720"/>
      </w:pPr>
      <w:r w:rsidRPr="00DD5F1F">
        <w:t>Wiley</w:t>
      </w:r>
      <w:r w:rsidR="00424343" w:rsidRPr="00DD5F1F">
        <w:t>: Draft response shared with committee.</w:t>
      </w:r>
    </w:p>
    <w:p w14:paraId="41CFFB7D" w14:textId="1A8AEC2C" w:rsidR="00424343" w:rsidRPr="00DD5F1F" w:rsidRDefault="00424343" w:rsidP="00166ABD">
      <w:pPr>
        <w:ind w:left="1800" w:hanging="360"/>
      </w:pPr>
      <w:r w:rsidRPr="00DD5F1F">
        <w:t xml:space="preserve">Discussion: How will it be submitted? Which division will be responsible (Provost or Registrar)? </w:t>
      </w:r>
      <w:r w:rsidR="00166ABD" w:rsidRPr="00DD5F1F">
        <w:t xml:space="preserve">Discussion: S. Benet noted provost office </w:t>
      </w:r>
      <w:r w:rsidR="00166ABD" w:rsidRPr="00DD5F1F">
        <w:lastRenderedPageBreak/>
        <w:t>concerns, Students representatives Frappier &amp; A. Muller expressed students concerns about timeliness, etc.  to support better informed choices for students. Shapiro-Shapin noted extraneous influences on timeliness issues (text arrival etc.)</w:t>
      </w:r>
      <w:r w:rsidR="005B25F4" w:rsidRPr="00DD5F1F">
        <w:t xml:space="preserve"> unintended consequences</w:t>
      </w:r>
      <w:r w:rsidR="00166ABD" w:rsidRPr="00DD5F1F">
        <w:t>,</w:t>
      </w:r>
      <w:r w:rsidRPr="00DD5F1F">
        <w:t xml:space="preserve"> </w:t>
      </w:r>
      <w:r w:rsidR="00053B6A" w:rsidRPr="00DD5F1F">
        <w:t>Wiley</w:t>
      </w:r>
      <w:r w:rsidRPr="00DD5F1F">
        <w:t xml:space="preserve"> </w:t>
      </w:r>
      <w:r w:rsidR="00166ABD" w:rsidRPr="00DD5F1F">
        <w:t>noted students can refer to past syllabi for perspective, Carlson reflected on potential impact related to deadlines for student scheduling</w:t>
      </w:r>
      <w:r w:rsidR="00114B1A" w:rsidRPr="00DD5F1F">
        <w:t>.</w:t>
      </w:r>
      <w:r w:rsidR="009B6418" w:rsidRPr="00DD5F1F">
        <w:t xml:space="preserve"> </w:t>
      </w:r>
      <w:r w:rsidR="005B25F4" w:rsidRPr="00DD5F1F">
        <w:t xml:space="preserve">Ripple questioned whether evidence could be gathered from </w:t>
      </w:r>
      <w:r w:rsidR="00A87135" w:rsidRPr="00DD5F1F">
        <w:t>LMS</w:t>
      </w:r>
      <w:r w:rsidR="005B25F4" w:rsidRPr="00DD5F1F">
        <w:t xml:space="preserve"> re access to support decisions.  Losey clarified </w:t>
      </w:r>
      <w:r w:rsidR="00053B6A" w:rsidRPr="00DD5F1F">
        <w:t>students’</w:t>
      </w:r>
      <w:r w:rsidR="005B25F4" w:rsidRPr="00DD5F1F">
        <w:t xml:space="preserve"> timeliness issues.  SOR information would not be helpful. </w:t>
      </w:r>
      <w:r w:rsidR="00551467" w:rsidRPr="00DD5F1F">
        <w:t>Machnik &amp; Slager noted that health courses have rare electives</w:t>
      </w:r>
      <w:r w:rsidR="007A0148" w:rsidRPr="00DD5F1F">
        <w:t>, and request that language be added indicting lack of feasibility</w:t>
      </w:r>
      <w:r w:rsidR="00E63C49" w:rsidRPr="00DD5F1F">
        <w:t xml:space="preserve"> for programs without electives</w:t>
      </w:r>
      <w:r w:rsidR="00551467" w:rsidRPr="00DD5F1F">
        <w:t xml:space="preserve">.  This would apply to undergraduate courses.  </w:t>
      </w:r>
      <w:r w:rsidR="00166ABD" w:rsidRPr="00DD5F1F">
        <w:t>Include caveat that syllabi are subject to change.</w:t>
      </w:r>
      <w:r w:rsidR="00551467" w:rsidRPr="00DD5F1F">
        <w:t xml:space="preserve"> Higbea noted that current </w:t>
      </w:r>
      <w:r w:rsidR="00A87135" w:rsidRPr="00DD5F1F">
        <w:t>LMS</w:t>
      </w:r>
      <w:r w:rsidR="00551467" w:rsidRPr="00DD5F1F">
        <w:t xml:space="preserve"> would not support this but that investigation of IT support indicates we do not have a current system to support this.</w:t>
      </w:r>
      <w:r w:rsidR="00A87135" w:rsidRPr="00DD5F1F">
        <w:t xml:space="preserve"> Diarrassouba noted policy can precede implementation. Wildey and Losey reiterated goal for implementation to occur at university rather than unit levels. </w:t>
      </w:r>
    </w:p>
    <w:p w14:paraId="5050FE71" w14:textId="54B66099" w:rsidR="009B6418" w:rsidRPr="00DD5F1F" w:rsidRDefault="009B6418" w:rsidP="009B6418">
      <w:pPr>
        <w:ind w:left="1800"/>
      </w:pPr>
      <w:r w:rsidRPr="00DD5F1F">
        <w:t>Decision made to take the draft to various stakeholders for feedback, emphasizing that this is a request from Student Senate and that APSC wants to prevent additional work for faculty and/or department staff.</w:t>
      </w:r>
      <w:r w:rsidR="00E63C49" w:rsidRPr="00DD5F1F">
        <w:t xml:space="preserve"> </w:t>
      </w:r>
    </w:p>
    <w:p w14:paraId="3306FEFA" w14:textId="28774301" w:rsidR="00DD5F1F" w:rsidRPr="002A3826" w:rsidRDefault="00DD5F1F" w:rsidP="00DD5F1F">
      <w:pPr>
        <w:rPr>
          <w:b/>
          <w:u w:val="single"/>
        </w:rPr>
      </w:pPr>
      <w:r w:rsidRPr="00DD5F1F">
        <w:t xml:space="preserve">      </w:t>
      </w:r>
      <w:r w:rsidRPr="002A3826">
        <w:t xml:space="preserve">  </w:t>
      </w:r>
      <w:r w:rsidRPr="002A3826">
        <w:rPr>
          <w:u w:val="single"/>
        </w:rPr>
        <w:t xml:space="preserve"> </w:t>
      </w:r>
      <w:r w:rsidR="002A3826" w:rsidRPr="002A3826">
        <w:rPr>
          <w:b/>
          <w:u w:val="single"/>
        </w:rPr>
        <w:t>b.1.</w:t>
      </w:r>
      <w:r w:rsidRPr="002A3826">
        <w:rPr>
          <w:b/>
        </w:rPr>
        <w:t xml:space="preserve"> </w:t>
      </w:r>
      <w:r w:rsidR="009B6418" w:rsidRPr="002A3826">
        <w:rPr>
          <w:b/>
          <w:u w:val="single"/>
        </w:rPr>
        <w:t>Action Items:</w:t>
      </w:r>
      <w:r w:rsidRPr="002A3826">
        <w:rPr>
          <w:b/>
          <w:u w:val="single"/>
        </w:rPr>
        <w:t xml:space="preserve">  </w:t>
      </w:r>
    </w:p>
    <w:p w14:paraId="436C6A9D" w14:textId="77777777" w:rsidR="00E42341" w:rsidRDefault="00DD5F1F" w:rsidP="00DD5F1F">
      <w:pPr>
        <w:rPr>
          <w:rFonts w:ascii="Arial" w:hAnsi="Arial" w:cs="Arial"/>
          <w:color w:val="000000"/>
          <w:sz w:val="22"/>
          <w:szCs w:val="22"/>
        </w:rPr>
      </w:pPr>
      <w:r>
        <w:t xml:space="preserve">         </w:t>
      </w:r>
      <w:r w:rsidR="00E42341" w:rsidRPr="002A3826">
        <w:rPr>
          <w:b/>
        </w:rPr>
        <w:t xml:space="preserve">1. </w:t>
      </w:r>
      <w:r w:rsidRPr="002A3826">
        <w:rPr>
          <w:b/>
        </w:rPr>
        <w:t xml:space="preserve"> </w:t>
      </w:r>
      <w:r w:rsidR="00E63C49" w:rsidRPr="002A3826">
        <w:rPr>
          <w:b/>
        </w:rPr>
        <w:t>Motion</w:t>
      </w:r>
      <w:r w:rsidR="00E63C49" w:rsidRPr="00DD5F1F">
        <w:t xml:space="preserve">: </w:t>
      </w:r>
      <w:r>
        <w:rPr>
          <w:rFonts w:ascii="Arial" w:hAnsi="Arial" w:cs="Arial"/>
          <w:color w:val="000000"/>
          <w:sz w:val="22"/>
          <w:szCs w:val="22"/>
        </w:rPr>
        <w:t xml:space="preserve">In response to the Student Senate recommending we create a syllabi </w:t>
      </w:r>
    </w:p>
    <w:p w14:paraId="128C61B2" w14:textId="56643F16" w:rsidR="00E42341" w:rsidRDefault="00E42341" w:rsidP="00DD5F1F">
      <w:pPr>
        <w:rPr>
          <w:rFonts w:ascii="Arial" w:hAnsi="Arial" w:cs="Arial"/>
          <w:color w:val="000000"/>
          <w:sz w:val="22"/>
          <w:szCs w:val="22"/>
        </w:rPr>
      </w:pPr>
      <w:r>
        <w:rPr>
          <w:rFonts w:ascii="Arial" w:hAnsi="Arial" w:cs="Arial"/>
          <w:color w:val="000000"/>
          <w:sz w:val="22"/>
          <w:szCs w:val="22"/>
        </w:rPr>
        <w:t xml:space="preserve">        </w:t>
      </w:r>
      <w:r w:rsidR="00DD5F1F">
        <w:rPr>
          <w:rFonts w:ascii="Arial" w:hAnsi="Arial" w:cs="Arial"/>
          <w:color w:val="000000"/>
          <w:sz w:val="22"/>
          <w:szCs w:val="22"/>
        </w:rPr>
        <w:t xml:space="preserve">repository, we do believe posting syllabi online could be a system that is beneficial for </w:t>
      </w:r>
      <w:r w:rsidR="00053B6A">
        <w:rPr>
          <w:rFonts w:ascii="Arial" w:hAnsi="Arial" w:cs="Arial"/>
          <w:color w:val="000000"/>
          <w:sz w:val="22"/>
          <w:szCs w:val="22"/>
        </w:rPr>
        <w:t>us</w:t>
      </w:r>
      <w:r w:rsidR="00DD5F1F">
        <w:rPr>
          <w:rFonts w:ascii="Arial" w:hAnsi="Arial" w:cs="Arial"/>
          <w:color w:val="000000"/>
          <w:sz w:val="22"/>
          <w:szCs w:val="22"/>
        </w:rPr>
        <w:t xml:space="preserve"> </w:t>
      </w:r>
    </w:p>
    <w:p w14:paraId="6550D4EB" w14:textId="77777777" w:rsidR="00E42341" w:rsidRDefault="00E42341" w:rsidP="00DD5F1F">
      <w:pPr>
        <w:rPr>
          <w:rFonts w:ascii="Arial" w:hAnsi="Arial" w:cs="Arial"/>
          <w:color w:val="000000"/>
          <w:sz w:val="22"/>
          <w:szCs w:val="22"/>
        </w:rPr>
      </w:pPr>
      <w:r>
        <w:rPr>
          <w:rFonts w:ascii="Arial" w:hAnsi="Arial" w:cs="Arial"/>
          <w:color w:val="000000"/>
          <w:sz w:val="22"/>
          <w:szCs w:val="22"/>
        </w:rPr>
        <w:t xml:space="preserve">        </w:t>
      </w:r>
      <w:r w:rsidR="00DD5F1F">
        <w:rPr>
          <w:rFonts w:ascii="Arial" w:hAnsi="Arial" w:cs="Arial"/>
          <w:color w:val="000000"/>
          <w:sz w:val="22"/>
          <w:szCs w:val="22"/>
        </w:rPr>
        <w:t xml:space="preserve">students. However, to create a policy requiring that all instructors of undergraduate </w:t>
      </w:r>
    </w:p>
    <w:p w14:paraId="4E036311" w14:textId="77777777" w:rsidR="00E42341" w:rsidRDefault="00E42341" w:rsidP="00DD5F1F">
      <w:pPr>
        <w:rPr>
          <w:rFonts w:ascii="Arial" w:hAnsi="Arial" w:cs="Arial"/>
          <w:color w:val="000000"/>
          <w:sz w:val="22"/>
          <w:szCs w:val="22"/>
        </w:rPr>
      </w:pPr>
      <w:r>
        <w:rPr>
          <w:rFonts w:ascii="Arial" w:hAnsi="Arial" w:cs="Arial"/>
          <w:color w:val="000000"/>
          <w:sz w:val="22"/>
          <w:szCs w:val="22"/>
        </w:rPr>
        <w:t xml:space="preserve">        </w:t>
      </w:r>
      <w:r w:rsidR="00DD5F1F">
        <w:rPr>
          <w:rFonts w:ascii="Arial" w:hAnsi="Arial" w:cs="Arial"/>
          <w:color w:val="000000"/>
          <w:sz w:val="22"/>
          <w:szCs w:val="22"/>
        </w:rPr>
        <w:t xml:space="preserve">courses post their syllabi online, we have some structural concerns that would need to be </w:t>
      </w:r>
    </w:p>
    <w:p w14:paraId="23C3FF13" w14:textId="77777777" w:rsidR="00E42341" w:rsidRDefault="00E42341" w:rsidP="00DD5F1F">
      <w:pPr>
        <w:rPr>
          <w:rFonts w:ascii="Arial" w:hAnsi="Arial" w:cs="Arial"/>
          <w:color w:val="000000"/>
          <w:sz w:val="22"/>
          <w:szCs w:val="22"/>
        </w:rPr>
      </w:pPr>
      <w:r>
        <w:rPr>
          <w:rFonts w:ascii="Arial" w:hAnsi="Arial" w:cs="Arial"/>
          <w:color w:val="000000"/>
          <w:sz w:val="22"/>
          <w:szCs w:val="22"/>
        </w:rPr>
        <w:t xml:space="preserve">        </w:t>
      </w:r>
      <w:r w:rsidR="00DD5F1F">
        <w:rPr>
          <w:rFonts w:ascii="Arial" w:hAnsi="Arial" w:cs="Arial"/>
          <w:color w:val="000000"/>
          <w:sz w:val="22"/>
          <w:szCs w:val="22"/>
        </w:rPr>
        <w:t xml:space="preserve">addressed. As such, our recommendation is that we create a syllabi repository if and only if </w:t>
      </w:r>
    </w:p>
    <w:p w14:paraId="1D3F9A94" w14:textId="4C470675" w:rsidR="00DD5F1F" w:rsidRPr="00DD5F1F" w:rsidRDefault="00E42341" w:rsidP="00DD5F1F">
      <w:pPr>
        <w:rPr>
          <w:u w:val="single"/>
        </w:rPr>
      </w:pPr>
      <w:r>
        <w:rPr>
          <w:rFonts w:ascii="Arial" w:hAnsi="Arial" w:cs="Arial"/>
          <w:color w:val="000000"/>
          <w:sz w:val="22"/>
          <w:szCs w:val="22"/>
        </w:rPr>
        <w:t xml:space="preserve">        </w:t>
      </w:r>
      <w:r w:rsidR="00DD5F1F">
        <w:rPr>
          <w:rFonts w:ascii="Arial" w:hAnsi="Arial" w:cs="Arial"/>
          <w:color w:val="000000"/>
          <w:sz w:val="22"/>
          <w:szCs w:val="22"/>
        </w:rPr>
        <w:t>the following conditions are also met:</w:t>
      </w:r>
    </w:p>
    <w:p w14:paraId="2C19E4DA" w14:textId="14EF0335" w:rsidR="00DD5F1F" w:rsidRDefault="00E42341" w:rsidP="00E42341">
      <w:pPr>
        <w:pStyle w:val="NormalWeb"/>
        <w:spacing w:before="240" w:beforeAutospacing="0" w:after="0" w:afterAutospacing="0"/>
        <w:ind w:left="720"/>
        <w:textAlignment w:val="baseline"/>
        <w:rPr>
          <w:rFonts w:ascii="Arial" w:hAnsi="Arial" w:cs="Arial"/>
          <w:color w:val="000000"/>
          <w:sz w:val="22"/>
          <w:szCs w:val="22"/>
        </w:rPr>
      </w:pPr>
      <w:r>
        <w:rPr>
          <w:rFonts w:ascii="Arial" w:hAnsi="Arial" w:cs="Arial"/>
          <w:color w:val="000000"/>
          <w:sz w:val="22"/>
          <w:szCs w:val="22"/>
        </w:rPr>
        <w:t xml:space="preserve">1)  </w:t>
      </w:r>
      <w:r w:rsidR="00DD5F1F">
        <w:rPr>
          <w:rFonts w:ascii="Arial" w:hAnsi="Arial" w:cs="Arial"/>
          <w:color w:val="000000"/>
          <w:sz w:val="22"/>
          <w:szCs w:val="22"/>
        </w:rPr>
        <w:t>The syllabi repository would be a historical repository from prior semesters. Faculty typically do not have their syllabi ready until the start of the semester. As such, this would simply be a historical record of syllabi and the repository would not be expected to have the syllabi for the current semester available. We would recommend the prior 3 years of syllabi be available.</w:t>
      </w:r>
    </w:p>
    <w:p w14:paraId="786D44CD" w14:textId="5EADEA0D" w:rsidR="00DD5F1F" w:rsidRDefault="00E42341" w:rsidP="00E42341">
      <w:pPr>
        <w:pStyle w:val="NormalWeb"/>
        <w:spacing w:before="0" w:beforeAutospacing="0" w:after="0" w:afterAutospacing="0"/>
        <w:ind w:left="720"/>
        <w:textAlignment w:val="baseline"/>
        <w:rPr>
          <w:rFonts w:ascii="Arial" w:hAnsi="Arial" w:cs="Arial"/>
          <w:color w:val="000000"/>
          <w:sz w:val="22"/>
          <w:szCs w:val="22"/>
        </w:rPr>
      </w:pPr>
      <w:r>
        <w:rPr>
          <w:rFonts w:ascii="Arial" w:hAnsi="Arial" w:cs="Arial"/>
          <w:color w:val="000000"/>
          <w:sz w:val="22"/>
          <w:szCs w:val="22"/>
        </w:rPr>
        <w:t xml:space="preserve">2) </w:t>
      </w:r>
      <w:r w:rsidR="00DD5F1F">
        <w:rPr>
          <w:rFonts w:ascii="Arial" w:hAnsi="Arial" w:cs="Arial"/>
          <w:color w:val="000000"/>
          <w:sz w:val="22"/>
          <w:szCs w:val="22"/>
        </w:rPr>
        <w:t>The syllabi repository is a system that is maintained by a university-wide entity and not the responsibility of each college/department/unit to maintain. We believe current administrative staff do not have the time/resources to devote to such an endeavor given the amount of time it takes. For reference, for the 40 or so members of the psychology department, it takes one office staff time over the course of 2-3 weeks (roughly 8-10 hours total) to get all of the syllabi posted. We would recommend if a syllabi repository is made, that such a system is maintained by IT or Institutional Marketing, or a similar entity. One example to keep the system easier include faculty completing a form once per semester that indicates which courses they are teaching and they would upload a syllabus within the form, and then this form is directly transferred into the syllabi repository. Another example may be a system that pulls syllabi directly from those posted within the Learning Management System or Digital Measures.</w:t>
      </w:r>
    </w:p>
    <w:p w14:paraId="12F562DD" w14:textId="06837A68" w:rsidR="00DD5F1F" w:rsidRDefault="00E42341" w:rsidP="00E42341">
      <w:pPr>
        <w:pStyle w:val="NormalWeb"/>
        <w:spacing w:before="0" w:beforeAutospacing="0" w:after="0" w:afterAutospacing="0"/>
        <w:ind w:left="720"/>
        <w:textAlignment w:val="baseline"/>
        <w:rPr>
          <w:rFonts w:ascii="Arial" w:hAnsi="Arial" w:cs="Arial"/>
          <w:color w:val="000000"/>
          <w:sz w:val="22"/>
          <w:szCs w:val="22"/>
        </w:rPr>
      </w:pPr>
      <w:r>
        <w:rPr>
          <w:rFonts w:ascii="Arial" w:hAnsi="Arial" w:cs="Arial"/>
          <w:color w:val="000000"/>
          <w:sz w:val="22"/>
          <w:szCs w:val="22"/>
        </w:rPr>
        <w:t xml:space="preserve">3) </w:t>
      </w:r>
      <w:r w:rsidR="00DD5F1F">
        <w:rPr>
          <w:rFonts w:ascii="Arial" w:hAnsi="Arial" w:cs="Arial"/>
          <w:color w:val="000000"/>
          <w:sz w:val="22"/>
          <w:szCs w:val="22"/>
        </w:rPr>
        <w:t>The syllabi repository should not be publicly available. A GVSU login should be required to access the repository. </w:t>
      </w:r>
    </w:p>
    <w:p w14:paraId="52E14E89" w14:textId="77777777" w:rsidR="00E42341" w:rsidRDefault="00E42341" w:rsidP="00E42341">
      <w:pPr>
        <w:pStyle w:val="NormalWeb"/>
        <w:spacing w:before="0" w:beforeAutospacing="0" w:after="0" w:afterAutospacing="0"/>
        <w:ind w:left="720"/>
        <w:textAlignment w:val="baseline"/>
      </w:pPr>
      <w:r>
        <w:rPr>
          <w:rFonts w:ascii="Arial" w:hAnsi="Arial" w:cs="Arial"/>
          <w:color w:val="000000"/>
          <w:sz w:val="22"/>
          <w:szCs w:val="22"/>
        </w:rPr>
        <w:t xml:space="preserve">4) </w:t>
      </w:r>
      <w:r w:rsidR="00DD5F1F" w:rsidRPr="00E42341">
        <w:rPr>
          <w:rFonts w:ascii="Arial" w:hAnsi="Arial" w:cs="Arial"/>
          <w:color w:val="000000"/>
          <w:sz w:val="22"/>
          <w:szCs w:val="22"/>
        </w:rPr>
        <w:t>There may be colleges/units for which a syllabi repository may not be feasible.</w:t>
      </w:r>
      <w:r w:rsidR="00DD5F1F">
        <w:t xml:space="preserve">     </w:t>
      </w:r>
    </w:p>
    <w:p w14:paraId="04DABEE9" w14:textId="3CE4B206" w:rsidR="009B6418" w:rsidRPr="00DD5F1F" w:rsidRDefault="00E42341" w:rsidP="00E42341">
      <w:pPr>
        <w:pStyle w:val="NormalWeb"/>
        <w:spacing w:before="0" w:beforeAutospacing="0" w:after="0" w:afterAutospacing="0"/>
        <w:textAlignment w:val="baseline"/>
      </w:pPr>
      <w:r>
        <w:lastRenderedPageBreak/>
        <w:t xml:space="preserve">       </w:t>
      </w:r>
      <w:r w:rsidRPr="002A3826">
        <w:rPr>
          <w:b/>
          <w:u w:val="single"/>
        </w:rPr>
        <w:t xml:space="preserve">2.  </w:t>
      </w:r>
      <w:r w:rsidR="00DD5F1F" w:rsidRPr="002A3826">
        <w:rPr>
          <w:b/>
          <w:u w:val="single"/>
        </w:rPr>
        <w:t>Motion</w:t>
      </w:r>
      <w:r w:rsidR="00DD5F1F">
        <w:t xml:space="preserve">: </w:t>
      </w:r>
      <w:r w:rsidR="00E63C49" w:rsidRPr="00DD5F1F">
        <w:t>L. Corneal, 2</w:t>
      </w:r>
      <w:r w:rsidR="00E63C49" w:rsidRPr="00E42341">
        <w:rPr>
          <w:vertAlign w:val="superscript"/>
        </w:rPr>
        <w:t>nd</w:t>
      </w:r>
      <w:r w:rsidR="00E63C49" w:rsidRPr="00DD5F1F">
        <w:t>: T. Carlson, motion passed</w:t>
      </w:r>
    </w:p>
    <w:p w14:paraId="53B17F2C" w14:textId="77777777" w:rsidR="00E63C49" w:rsidRPr="00DD5F1F" w:rsidRDefault="00E63C49" w:rsidP="009B6418">
      <w:pPr>
        <w:pStyle w:val="ListParagraph"/>
        <w:ind w:left="2520"/>
      </w:pPr>
    </w:p>
    <w:p w14:paraId="2215EC8D" w14:textId="403A7CA3" w:rsidR="00E63C49" w:rsidRPr="00DD5F1F" w:rsidRDefault="00E63C49" w:rsidP="006055A8">
      <w:pPr>
        <w:pStyle w:val="BodyA"/>
        <w:ind w:left="1440"/>
        <w:rPr>
          <w:rFonts w:eastAsia="Calibri" w:cstheme="minorHAnsi"/>
          <w:bCs/>
        </w:rPr>
      </w:pPr>
      <w:r w:rsidRPr="00DD5F1F">
        <w:rPr>
          <w:rFonts w:eastAsia="Calibri" w:cstheme="minorHAnsi"/>
          <w:b/>
          <w:u w:val="single"/>
        </w:rPr>
        <w:t xml:space="preserve">c. </w:t>
      </w:r>
      <w:r w:rsidRPr="00DD5F1F">
        <w:rPr>
          <w:rFonts w:eastAsia="Calibri" w:cstheme="minorHAnsi"/>
          <w:b/>
          <w:bCs/>
          <w:u w:val="single"/>
        </w:rPr>
        <w:t>Rescheduling exams during exam week</w:t>
      </w:r>
      <w:r w:rsidRPr="00DD5F1F">
        <w:rPr>
          <w:rFonts w:eastAsia="Calibri" w:cstheme="minorHAnsi"/>
          <w:b/>
          <w:bCs/>
        </w:rPr>
        <w:t xml:space="preserve"> </w:t>
      </w:r>
      <w:r w:rsidRPr="00DD5F1F">
        <w:rPr>
          <w:rFonts w:eastAsia="Calibri" w:cstheme="minorHAnsi"/>
          <w:bCs/>
        </w:rPr>
        <w:t>– Darrian, Raymond, &amp; Suzanne</w:t>
      </w:r>
    </w:p>
    <w:p w14:paraId="744AEE8E" w14:textId="2B6C8BF8" w:rsidR="00DD5F1F" w:rsidRDefault="00E63C49" w:rsidP="00E63C49">
      <w:pPr>
        <w:pStyle w:val="BodyA"/>
        <w:ind w:left="1440"/>
        <w:rPr>
          <w:rFonts w:eastAsia="Calibri" w:cstheme="minorHAnsi"/>
          <w:bCs/>
        </w:rPr>
      </w:pPr>
      <w:r w:rsidRPr="00DD5F1F">
        <w:rPr>
          <w:rFonts w:eastAsia="Calibri" w:cstheme="minorHAnsi"/>
          <w:bCs/>
        </w:rPr>
        <w:t xml:space="preserve">Ripple discussed option of on-site service to provide alternative sites/times.  Discussion: Many staff note that this information is commonly in </w:t>
      </w:r>
      <w:r w:rsidR="00053B6A" w:rsidRPr="00DD5F1F">
        <w:rPr>
          <w:rFonts w:eastAsia="Calibri" w:cstheme="minorHAnsi"/>
          <w:bCs/>
        </w:rPr>
        <w:t>syllabi</w:t>
      </w:r>
      <w:r w:rsidRPr="00DD5F1F">
        <w:rPr>
          <w:rFonts w:eastAsia="Calibri" w:cstheme="minorHAnsi"/>
          <w:bCs/>
        </w:rPr>
        <w:t xml:space="preserve">, and that DSR provides </w:t>
      </w:r>
      <w:r w:rsidR="00053B6A" w:rsidRPr="00DD5F1F">
        <w:rPr>
          <w:rFonts w:eastAsia="Calibri" w:cstheme="minorHAnsi"/>
          <w:bCs/>
        </w:rPr>
        <w:t>services</w:t>
      </w:r>
      <w:r w:rsidRPr="00DD5F1F">
        <w:rPr>
          <w:rFonts w:eastAsia="Calibri" w:cstheme="minorHAnsi"/>
          <w:bCs/>
        </w:rPr>
        <w:t xml:space="preserve"> such as this when needed.  Losey noted that students may need cueing to enlist faculty support for any conflicts.  Frappier noted that this was an older resolution, notes </w:t>
      </w:r>
      <w:r w:rsidR="006055A8" w:rsidRPr="00DD5F1F">
        <w:rPr>
          <w:rFonts w:eastAsia="Calibri" w:cstheme="minorHAnsi"/>
          <w:bCs/>
        </w:rPr>
        <w:t>s</w:t>
      </w:r>
      <w:r w:rsidRPr="00DD5F1F">
        <w:rPr>
          <w:rFonts w:eastAsia="Calibri" w:cstheme="minorHAnsi"/>
          <w:bCs/>
        </w:rPr>
        <w:t xml:space="preserve">tudent concern was of “possible” </w:t>
      </w:r>
      <w:r w:rsidR="00053B6A" w:rsidRPr="00DD5F1F">
        <w:rPr>
          <w:rFonts w:eastAsia="Calibri" w:cstheme="minorHAnsi"/>
          <w:bCs/>
        </w:rPr>
        <w:t>accommodation</w:t>
      </w:r>
      <w:r w:rsidRPr="00DD5F1F">
        <w:rPr>
          <w:rFonts w:eastAsia="Calibri" w:cstheme="minorHAnsi"/>
          <w:bCs/>
        </w:rPr>
        <w:t xml:space="preserve"> and student senate concern was that this implied some faculty might not accommodate reasonable requests.  </w:t>
      </w:r>
      <w:r w:rsidR="006055A8" w:rsidRPr="00DD5F1F">
        <w:rPr>
          <w:rFonts w:eastAsia="Calibri" w:cstheme="minorHAnsi"/>
          <w:bCs/>
        </w:rPr>
        <w:t xml:space="preserve">Benet noted provost office concerns promoting flexibility, while providing faculty latitude.  She will discuss with P. Wells.  Corneal noted that language is NOT in catalogue, and </w:t>
      </w:r>
      <w:r w:rsidR="00053B6A" w:rsidRPr="00DD5F1F">
        <w:rPr>
          <w:rFonts w:eastAsia="Calibri" w:cstheme="minorHAnsi"/>
          <w:bCs/>
        </w:rPr>
        <w:t>should</w:t>
      </w:r>
      <w:r w:rsidR="006055A8" w:rsidRPr="00DD5F1F">
        <w:rPr>
          <w:rFonts w:eastAsia="Calibri" w:cstheme="minorHAnsi"/>
          <w:bCs/>
        </w:rPr>
        <w:t xml:space="preserve"> perhaps be added there for clarity. </w:t>
      </w:r>
    </w:p>
    <w:p w14:paraId="42DC02F6" w14:textId="2C8E714A" w:rsidR="006055A8" w:rsidRDefault="002A3826" w:rsidP="00E42341">
      <w:pPr>
        <w:pStyle w:val="BodyA"/>
        <w:rPr>
          <w:rFonts w:eastAsia="Calibri" w:cstheme="minorHAnsi"/>
          <w:bCs/>
          <w:u w:val="single"/>
        </w:rPr>
      </w:pPr>
      <w:r w:rsidRPr="002A3826">
        <w:rPr>
          <w:rFonts w:eastAsia="Calibri" w:cstheme="minorHAnsi"/>
          <w:b/>
          <w:bCs/>
          <w:u w:val="single"/>
        </w:rPr>
        <w:t>c.1</w:t>
      </w:r>
      <w:r>
        <w:rPr>
          <w:rFonts w:eastAsia="Calibri" w:cstheme="minorHAnsi"/>
          <w:b/>
          <w:bCs/>
          <w:u w:val="single"/>
        </w:rPr>
        <w:t>.</w:t>
      </w:r>
      <w:r w:rsidRPr="002A3826">
        <w:rPr>
          <w:rFonts w:eastAsia="Calibri" w:cstheme="minorHAnsi"/>
          <w:b/>
          <w:bCs/>
          <w:u w:val="single"/>
        </w:rPr>
        <w:t xml:space="preserve"> </w:t>
      </w:r>
      <w:r w:rsidR="006055A8" w:rsidRPr="002A3826">
        <w:rPr>
          <w:rFonts w:eastAsia="Calibri" w:cstheme="minorHAnsi"/>
          <w:b/>
          <w:bCs/>
          <w:u w:val="single"/>
        </w:rPr>
        <w:t>Action Items</w:t>
      </w:r>
      <w:r w:rsidR="006055A8" w:rsidRPr="00DD5F1F">
        <w:rPr>
          <w:rFonts w:eastAsia="Calibri" w:cstheme="minorHAnsi"/>
          <w:bCs/>
          <w:u w:val="single"/>
        </w:rPr>
        <w:t>:</w:t>
      </w:r>
    </w:p>
    <w:p w14:paraId="0EB4B5F5" w14:textId="0331A2F7" w:rsidR="00E42341" w:rsidRDefault="00E42341" w:rsidP="00E42341">
      <w:pPr>
        <w:pStyle w:val="BodyA"/>
        <w:rPr>
          <w:rFonts w:eastAsia="Calibri" w:cstheme="minorHAnsi"/>
          <w:bCs/>
          <w:u w:val="single"/>
        </w:rPr>
      </w:pPr>
      <w:r w:rsidRPr="00E42341">
        <w:rPr>
          <w:rFonts w:eastAsia="Calibri" w:cstheme="minorHAnsi"/>
          <w:bCs/>
        </w:rPr>
        <w:t xml:space="preserve">    </w:t>
      </w:r>
      <w:r w:rsidRPr="002A3826">
        <w:rPr>
          <w:rFonts w:eastAsia="Calibri" w:cstheme="minorHAnsi"/>
          <w:b/>
          <w:bCs/>
        </w:rPr>
        <w:t>1. Motion</w:t>
      </w:r>
      <w:r>
        <w:rPr>
          <w:rFonts w:eastAsia="Calibri" w:cstheme="minorHAnsi"/>
          <w:bCs/>
        </w:rPr>
        <w:t xml:space="preserve"> to use this language in response to SECcharge: </w:t>
      </w:r>
    </w:p>
    <w:p w14:paraId="2843C23E" w14:textId="77777777" w:rsidR="00E42341" w:rsidRDefault="00E42341" w:rsidP="00E42341">
      <w:pPr>
        <w:pStyle w:val="BodyA"/>
        <w:rPr>
          <w:rFonts w:eastAsia="Calibri" w:cstheme="minorHAnsi"/>
          <w:bCs/>
        </w:rPr>
      </w:pPr>
      <w:r>
        <w:rPr>
          <w:rFonts w:eastAsia="Calibri" w:cstheme="minorHAnsi"/>
          <w:bCs/>
        </w:rPr>
        <w:t xml:space="preserve">      </w:t>
      </w:r>
      <w:r w:rsidR="00DD5F1F">
        <w:rPr>
          <w:rFonts w:eastAsia="Calibri" w:cstheme="minorHAnsi"/>
          <w:bCs/>
        </w:rPr>
        <w:t>“</w:t>
      </w:r>
      <w:r w:rsidR="00DD5F1F" w:rsidRPr="00DD5F1F">
        <w:rPr>
          <w:rFonts w:eastAsia="Calibri" w:cstheme="minorHAnsi"/>
          <w:bCs/>
        </w:rPr>
        <w:t xml:space="preserve">We’ve discussed with student faculty representatives and find satisfaction with current </w:t>
      </w:r>
    </w:p>
    <w:p w14:paraId="5492BA01" w14:textId="40B5DE5E" w:rsidR="002A3826" w:rsidRDefault="00E42341" w:rsidP="00E42341">
      <w:pPr>
        <w:pStyle w:val="BodyA"/>
        <w:rPr>
          <w:rFonts w:eastAsia="Calibri" w:cstheme="minorHAnsi"/>
          <w:bCs/>
        </w:rPr>
      </w:pPr>
      <w:r>
        <w:rPr>
          <w:rFonts w:eastAsia="Calibri" w:cstheme="minorHAnsi"/>
          <w:bCs/>
        </w:rPr>
        <w:t xml:space="preserve">      </w:t>
      </w:r>
      <w:r w:rsidR="00DD5F1F" w:rsidRPr="00DD5F1F">
        <w:rPr>
          <w:rFonts w:eastAsia="Calibri" w:cstheme="minorHAnsi"/>
          <w:bCs/>
        </w:rPr>
        <w:t>language, but encourage wider</w:t>
      </w:r>
      <w:r w:rsidR="002A3826">
        <w:rPr>
          <w:rFonts w:eastAsia="Calibri" w:cstheme="minorHAnsi"/>
          <w:bCs/>
        </w:rPr>
        <w:t xml:space="preserve">, </w:t>
      </w:r>
      <w:r w:rsidR="00053B6A">
        <w:rPr>
          <w:rFonts w:eastAsia="Calibri" w:cstheme="minorHAnsi"/>
          <w:bCs/>
        </w:rPr>
        <w:t>intentional</w:t>
      </w:r>
      <w:r w:rsidR="002A3826">
        <w:rPr>
          <w:rFonts w:eastAsia="Calibri" w:cstheme="minorHAnsi"/>
          <w:bCs/>
        </w:rPr>
        <w:t xml:space="preserve"> </w:t>
      </w:r>
      <w:r w:rsidR="00DD5F1F" w:rsidRPr="00DD5F1F">
        <w:rPr>
          <w:rFonts w:eastAsia="Calibri" w:cstheme="minorHAnsi"/>
          <w:bCs/>
        </w:rPr>
        <w:t>communication of this information</w:t>
      </w:r>
      <w:r w:rsidR="002A3826">
        <w:rPr>
          <w:rFonts w:eastAsia="Calibri" w:cstheme="minorHAnsi"/>
          <w:bCs/>
        </w:rPr>
        <w:t xml:space="preserve"> to </w:t>
      </w:r>
    </w:p>
    <w:p w14:paraId="05440A14" w14:textId="1F655C81" w:rsidR="00E42341" w:rsidRDefault="002A3826" w:rsidP="00E42341">
      <w:pPr>
        <w:pStyle w:val="BodyA"/>
        <w:rPr>
          <w:rFonts w:eastAsia="Calibri" w:cstheme="minorHAnsi"/>
          <w:bCs/>
        </w:rPr>
      </w:pPr>
      <w:r>
        <w:rPr>
          <w:rFonts w:eastAsia="Calibri" w:cstheme="minorHAnsi"/>
          <w:bCs/>
        </w:rPr>
        <w:t xml:space="preserve">      students</w:t>
      </w:r>
      <w:r w:rsidR="00DD5F1F" w:rsidRPr="00DD5F1F">
        <w:rPr>
          <w:rFonts w:eastAsia="Calibri" w:cstheme="minorHAnsi"/>
          <w:bCs/>
        </w:rPr>
        <w:t xml:space="preserve">.” </w:t>
      </w:r>
      <w:r w:rsidR="00DD5F1F">
        <w:rPr>
          <w:rFonts w:eastAsia="Calibri" w:cstheme="minorHAnsi"/>
          <w:bCs/>
        </w:rPr>
        <w:t xml:space="preserve"> </w:t>
      </w:r>
    </w:p>
    <w:p w14:paraId="1825AB8E" w14:textId="305AD4FB" w:rsidR="006055A8" w:rsidRPr="00DD5F1F" w:rsidRDefault="00E42341" w:rsidP="00E42341">
      <w:pPr>
        <w:pStyle w:val="BodyA"/>
        <w:rPr>
          <w:rFonts w:eastAsia="Calibri" w:cstheme="minorHAnsi"/>
          <w:bCs/>
        </w:rPr>
      </w:pPr>
      <w:r w:rsidRPr="002A3826">
        <w:rPr>
          <w:rFonts w:eastAsia="Calibri" w:cstheme="minorHAnsi"/>
          <w:b/>
          <w:bCs/>
        </w:rPr>
        <w:t xml:space="preserve">    2. </w:t>
      </w:r>
      <w:r w:rsidR="006055A8" w:rsidRPr="002A3826">
        <w:rPr>
          <w:rFonts w:eastAsia="Calibri" w:cstheme="minorHAnsi"/>
          <w:b/>
          <w:bCs/>
        </w:rPr>
        <w:t>Motion</w:t>
      </w:r>
      <w:r w:rsidR="006055A8" w:rsidRPr="00DD5F1F">
        <w:rPr>
          <w:rFonts w:eastAsia="Calibri" w:cstheme="minorHAnsi"/>
          <w:bCs/>
        </w:rPr>
        <w:t>: N</w:t>
      </w:r>
      <w:r>
        <w:rPr>
          <w:rFonts w:eastAsia="Calibri" w:cstheme="minorHAnsi"/>
          <w:bCs/>
        </w:rPr>
        <w:t>.</w:t>
      </w:r>
      <w:r w:rsidR="006055A8" w:rsidRPr="00DD5F1F">
        <w:t xml:space="preserve"> Diarrassouba 2</w:t>
      </w:r>
      <w:r w:rsidR="006055A8" w:rsidRPr="00DD5F1F">
        <w:rPr>
          <w:vertAlign w:val="superscript"/>
        </w:rPr>
        <w:t>nd</w:t>
      </w:r>
      <w:r w:rsidR="006055A8" w:rsidRPr="00DD5F1F">
        <w:t xml:space="preserve"> T.Carlson, motion passed</w:t>
      </w:r>
    </w:p>
    <w:p w14:paraId="025634F6" w14:textId="77777777" w:rsidR="00E63C49" w:rsidRPr="00DD5F1F" w:rsidRDefault="00E63C49" w:rsidP="009B6418">
      <w:pPr>
        <w:pStyle w:val="BodyA"/>
        <w:ind w:left="1440"/>
        <w:rPr>
          <w:rFonts w:eastAsia="Calibri" w:cstheme="minorHAnsi"/>
          <w:b/>
          <w:u w:val="single"/>
        </w:rPr>
      </w:pPr>
    </w:p>
    <w:p w14:paraId="48A03CF0" w14:textId="6A62A682" w:rsidR="006B66B8" w:rsidRPr="00DD5F1F" w:rsidRDefault="006055A8" w:rsidP="006055A8">
      <w:pPr>
        <w:ind w:left="720" w:firstLine="720"/>
      </w:pPr>
      <w:r w:rsidRPr="00DD5F1F">
        <w:rPr>
          <w:rFonts w:eastAsia="Calibri" w:cstheme="minorHAnsi"/>
          <w:b/>
          <w:u w:val="single"/>
        </w:rPr>
        <w:t>d</w:t>
      </w:r>
      <w:r w:rsidR="006B66B8" w:rsidRPr="00DD5F1F">
        <w:rPr>
          <w:rFonts w:eastAsia="Calibri" w:cstheme="minorHAnsi"/>
          <w:b/>
          <w:u w:val="single"/>
        </w:rPr>
        <w:t>. 58-credit rule</w:t>
      </w:r>
      <w:r w:rsidR="006B66B8" w:rsidRPr="00DD5F1F">
        <w:rPr>
          <w:rFonts w:eastAsia="Calibri" w:cstheme="minorHAnsi"/>
        </w:rPr>
        <w:t xml:space="preserve"> – Kelly, Kay, &amp; Carolyn - </w:t>
      </w:r>
    </w:p>
    <w:p w14:paraId="48541A7D" w14:textId="5DA3CA8D" w:rsidR="006B66B8" w:rsidRPr="00DD5F1F" w:rsidRDefault="006055A8" w:rsidP="006B66B8">
      <w:pPr>
        <w:pStyle w:val="BodyA"/>
        <w:ind w:left="1440"/>
        <w:rPr>
          <w:rFonts w:eastAsia="Calibri" w:cstheme="minorHAnsi"/>
        </w:rPr>
      </w:pPr>
      <w:r w:rsidRPr="00DD5F1F">
        <w:rPr>
          <w:rFonts w:eastAsia="Calibri" w:cstheme="minorHAnsi"/>
        </w:rPr>
        <w:t xml:space="preserve">Losey reviewed </w:t>
      </w:r>
      <w:r w:rsidR="00053B6A" w:rsidRPr="00DD5F1F">
        <w:rPr>
          <w:rFonts w:eastAsia="Calibri" w:cstheme="minorHAnsi"/>
        </w:rPr>
        <w:t>historical</w:t>
      </w:r>
      <w:r w:rsidRPr="00DD5F1F">
        <w:rPr>
          <w:rFonts w:eastAsia="Calibri" w:cstheme="minorHAnsi"/>
        </w:rPr>
        <w:t xml:space="preserve"> perspective and </w:t>
      </w:r>
      <w:r w:rsidR="00D4083A" w:rsidRPr="00DD5F1F">
        <w:rPr>
          <w:rFonts w:eastAsia="Calibri" w:cstheme="minorHAnsi"/>
        </w:rPr>
        <w:t>google.sheet with comparisons of 2021 vs 2016</w:t>
      </w:r>
      <w:r w:rsidRPr="00DD5F1F">
        <w:rPr>
          <w:rFonts w:eastAsia="Calibri" w:cstheme="minorHAnsi"/>
        </w:rPr>
        <w:t xml:space="preserve">.  </w:t>
      </w:r>
      <w:r w:rsidR="00D4083A" w:rsidRPr="00DD5F1F">
        <w:rPr>
          <w:rFonts w:eastAsia="Calibri" w:cstheme="minorHAnsi"/>
        </w:rPr>
        <w:t xml:space="preserve"> APSC findings re: minimum credit hours at 4-year institution for graduation. It appears that GVSU’s 58 credit rule is in line with most institutions. </w:t>
      </w:r>
    </w:p>
    <w:p w14:paraId="6124B785" w14:textId="0FE71696" w:rsidR="00D836BB" w:rsidRPr="00DD5F1F" w:rsidRDefault="00D4083A" w:rsidP="00A26289">
      <w:pPr>
        <w:pStyle w:val="BodyA"/>
        <w:ind w:left="1710" w:hanging="270"/>
        <w:rPr>
          <w:rFonts w:eastAsia="Calibri" w:cstheme="minorHAnsi"/>
        </w:rPr>
      </w:pPr>
      <w:r w:rsidRPr="00DD5F1F">
        <w:rPr>
          <w:rFonts w:eastAsia="Calibri" w:cstheme="minorHAnsi"/>
        </w:rPr>
        <w:t xml:space="preserve">Discussion: </w:t>
      </w:r>
      <w:r w:rsidR="0055226A" w:rsidRPr="00DD5F1F">
        <w:rPr>
          <w:rFonts w:eastAsia="Calibri" w:cstheme="minorHAnsi"/>
        </w:rPr>
        <w:t xml:space="preserve">This </w:t>
      </w:r>
      <w:r w:rsidR="0093228C" w:rsidRPr="00DD5F1F">
        <w:rPr>
          <w:rFonts w:eastAsia="Calibri" w:cstheme="minorHAnsi"/>
        </w:rPr>
        <w:t>charge is</w:t>
      </w:r>
      <w:r w:rsidR="0055226A" w:rsidRPr="00DD5F1F">
        <w:rPr>
          <w:rFonts w:eastAsia="Calibri" w:cstheme="minorHAnsi"/>
        </w:rPr>
        <w:t xml:space="preserve"> from Provost Cimitile. These are </w:t>
      </w:r>
      <w:r w:rsidR="0093228C" w:rsidRPr="00DD5F1F">
        <w:rPr>
          <w:rFonts w:eastAsia="Calibri" w:cstheme="minorHAnsi"/>
        </w:rPr>
        <w:t>reasons</w:t>
      </w:r>
      <w:r w:rsidR="0055226A" w:rsidRPr="00DD5F1F">
        <w:rPr>
          <w:rFonts w:eastAsia="Calibri" w:cstheme="minorHAnsi"/>
        </w:rPr>
        <w:t xml:space="preserve"> </w:t>
      </w:r>
      <w:r w:rsidR="00292A63" w:rsidRPr="00DD5F1F">
        <w:rPr>
          <w:rFonts w:eastAsia="Calibri" w:cstheme="minorHAnsi"/>
        </w:rPr>
        <w:t xml:space="preserve">for a change </w:t>
      </w:r>
      <w:r w:rsidR="0055226A" w:rsidRPr="00DD5F1F">
        <w:rPr>
          <w:rFonts w:eastAsia="Calibri" w:cstheme="minorHAnsi"/>
        </w:rPr>
        <w:t xml:space="preserve">such as </w:t>
      </w:r>
      <w:r w:rsidR="00292A63" w:rsidRPr="00DD5F1F">
        <w:rPr>
          <w:rFonts w:eastAsia="Calibri" w:cstheme="minorHAnsi"/>
        </w:rPr>
        <w:t xml:space="preserve">the </w:t>
      </w:r>
      <w:r w:rsidR="0055226A" w:rsidRPr="00DD5F1F">
        <w:rPr>
          <w:rFonts w:eastAsia="Calibri" w:cstheme="minorHAnsi"/>
        </w:rPr>
        <w:t xml:space="preserve">need to keep up graduation rates, </w:t>
      </w:r>
      <w:r w:rsidR="0093228C" w:rsidRPr="00DD5F1F">
        <w:rPr>
          <w:rFonts w:eastAsia="Calibri" w:cstheme="minorHAnsi"/>
        </w:rPr>
        <w:t>to support</w:t>
      </w:r>
      <w:r w:rsidR="0055226A" w:rsidRPr="00DD5F1F">
        <w:rPr>
          <w:rFonts w:eastAsia="Calibri" w:cstheme="minorHAnsi"/>
        </w:rPr>
        <w:t xml:space="preserve"> adult </w:t>
      </w:r>
      <w:r w:rsidR="00D836BB" w:rsidRPr="00DD5F1F">
        <w:rPr>
          <w:rFonts w:eastAsia="Calibri" w:cstheme="minorHAnsi"/>
        </w:rPr>
        <w:t xml:space="preserve">learners and alternative ways of earning credit, </w:t>
      </w:r>
      <w:r w:rsidR="0093228C" w:rsidRPr="00DD5F1F">
        <w:rPr>
          <w:rFonts w:eastAsia="Calibri" w:cstheme="minorHAnsi"/>
        </w:rPr>
        <w:t xml:space="preserve">to keep up tuition $, </w:t>
      </w:r>
      <w:r w:rsidR="00D836BB" w:rsidRPr="00DD5F1F">
        <w:rPr>
          <w:rFonts w:eastAsia="Calibri" w:cstheme="minorHAnsi"/>
        </w:rPr>
        <w:t xml:space="preserve">etc. </w:t>
      </w:r>
      <w:r w:rsidR="00A9464B" w:rsidRPr="00DD5F1F">
        <w:rPr>
          <w:rFonts w:eastAsia="Calibri" w:cstheme="minorHAnsi"/>
        </w:rPr>
        <w:t xml:space="preserve"> </w:t>
      </w:r>
      <w:r w:rsidR="00D836BB" w:rsidRPr="00DD5F1F">
        <w:rPr>
          <w:rFonts w:eastAsia="Calibri" w:cstheme="minorHAnsi"/>
        </w:rPr>
        <w:t>Benet: Exceptions are rarely made to the rule</w:t>
      </w:r>
      <w:r w:rsidR="0093228C" w:rsidRPr="00DD5F1F">
        <w:rPr>
          <w:rFonts w:eastAsia="Calibri" w:cstheme="minorHAnsi"/>
        </w:rPr>
        <w:t xml:space="preserve"> at GVSU</w:t>
      </w:r>
      <w:r w:rsidR="00D836BB" w:rsidRPr="00DD5F1F">
        <w:rPr>
          <w:rFonts w:eastAsia="Calibri" w:cstheme="minorHAnsi"/>
        </w:rPr>
        <w:t xml:space="preserve"> because the rule is clear</w:t>
      </w:r>
      <w:r w:rsidR="0093228C" w:rsidRPr="00DD5F1F">
        <w:rPr>
          <w:rFonts w:eastAsia="Calibri" w:cstheme="minorHAnsi"/>
        </w:rPr>
        <w:t>,</w:t>
      </w:r>
      <w:r w:rsidR="00D836BB" w:rsidRPr="00DD5F1F">
        <w:rPr>
          <w:rFonts w:eastAsia="Calibri" w:cstheme="minorHAnsi"/>
        </w:rPr>
        <w:t xml:space="preserve"> and waives</w:t>
      </w:r>
      <w:r w:rsidR="00AD4764" w:rsidRPr="00DD5F1F">
        <w:rPr>
          <w:rFonts w:eastAsia="Calibri" w:cstheme="minorHAnsi"/>
        </w:rPr>
        <w:t xml:space="preserve"> to</w:t>
      </w:r>
      <w:r w:rsidR="00D836BB" w:rsidRPr="00DD5F1F">
        <w:rPr>
          <w:rFonts w:eastAsia="Calibri" w:cstheme="minorHAnsi"/>
        </w:rPr>
        <w:t xml:space="preserve"> the rule</w:t>
      </w:r>
      <w:r w:rsidR="00AD4764" w:rsidRPr="00DD5F1F">
        <w:rPr>
          <w:rFonts w:eastAsia="Calibri" w:cstheme="minorHAnsi"/>
        </w:rPr>
        <w:t xml:space="preserve"> are rarely provided historically</w:t>
      </w:r>
      <w:r w:rsidR="00D836BB" w:rsidRPr="00DD5F1F">
        <w:rPr>
          <w:rFonts w:eastAsia="Calibri" w:cstheme="minorHAnsi"/>
        </w:rPr>
        <w:t>.</w:t>
      </w:r>
    </w:p>
    <w:p w14:paraId="30F3DF2A" w14:textId="77777777" w:rsidR="00A9464B" w:rsidRPr="00DD5F1F" w:rsidRDefault="00A9464B" w:rsidP="00A9464B">
      <w:pPr>
        <w:rPr>
          <w:rFonts w:cs="Times New Roman"/>
          <w:b/>
        </w:rPr>
      </w:pPr>
      <w:r w:rsidRPr="00DD5F1F">
        <w:rPr>
          <w:rFonts w:cs="Times New Roman"/>
          <w:b/>
        </w:rPr>
        <w:t xml:space="preserve">58-credit rule </w:t>
      </w:r>
    </w:p>
    <w:p w14:paraId="228F308D" w14:textId="77777777" w:rsidR="00A9464B" w:rsidRPr="00DD5F1F" w:rsidRDefault="00A9464B" w:rsidP="00A9464B">
      <w:pPr>
        <w:rPr>
          <w:rFonts w:cs="Times New Roman"/>
        </w:rPr>
      </w:pPr>
      <w:r w:rsidRPr="00DD5F1F">
        <w:rPr>
          <w:rFonts w:cs="Times New Roman"/>
        </w:rPr>
        <w:t xml:space="preserve">Based on our review of the APSC research: </w:t>
      </w:r>
    </w:p>
    <w:p w14:paraId="291BE6C8" w14:textId="77777777" w:rsidR="00A9464B" w:rsidRPr="00DD5F1F" w:rsidRDefault="00A9464B" w:rsidP="00A9464B">
      <w:pPr>
        <w:pStyle w:val="ListParagraph"/>
        <w:widowControl w:val="0"/>
        <w:numPr>
          <w:ilvl w:val="0"/>
          <w:numId w:val="6"/>
        </w:numPr>
        <w:autoSpaceDE w:val="0"/>
        <w:autoSpaceDN w:val="0"/>
        <w:adjustRightInd w:val="0"/>
        <w:rPr>
          <w:rFonts w:cs="Times New Roman"/>
          <w:sz w:val="22"/>
          <w:szCs w:val="22"/>
        </w:rPr>
      </w:pPr>
      <w:r w:rsidRPr="00DD5F1F">
        <w:rPr>
          <w:rFonts w:cs="Times New Roman"/>
          <w:sz w:val="22"/>
          <w:szCs w:val="22"/>
        </w:rPr>
        <w:t>15 of the 25 institutions studied require 55 credits or more (12 of these 58 credits or more).</w:t>
      </w:r>
    </w:p>
    <w:p w14:paraId="4BD2595D" w14:textId="77777777" w:rsidR="00A9464B" w:rsidRPr="00DD5F1F" w:rsidRDefault="00A9464B" w:rsidP="00A9464B">
      <w:pPr>
        <w:pStyle w:val="ListParagraph"/>
        <w:widowControl w:val="0"/>
        <w:numPr>
          <w:ilvl w:val="0"/>
          <w:numId w:val="6"/>
        </w:numPr>
        <w:autoSpaceDE w:val="0"/>
        <w:autoSpaceDN w:val="0"/>
        <w:adjustRightInd w:val="0"/>
        <w:rPr>
          <w:rFonts w:cs="Times New Roman"/>
          <w:sz w:val="22"/>
          <w:szCs w:val="22"/>
        </w:rPr>
      </w:pPr>
      <w:r w:rsidRPr="00DD5F1F">
        <w:rPr>
          <w:rFonts w:cs="Times New Roman"/>
          <w:sz w:val="22"/>
          <w:szCs w:val="22"/>
        </w:rPr>
        <w:t>10 institutions require less than 55. </w:t>
      </w:r>
    </w:p>
    <w:p w14:paraId="29B7E49B" w14:textId="77777777" w:rsidR="00A9464B" w:rsidRPr="00DD5F1F" w:rsidRDefault="00A9464B" w:rsidP="00A9464B">
      <w:pPr>
        <w:pStyle w:val="ListParagraph"/>
        <w:widowControl w:val="0"/>
        <w:numPr>
          <w:ilvl w:val="0"/>
          <w:numId w:val="6"/>
        </w:numPr>
        <w:autoSpaceDE w:val="0"/>
        <w:autoSpaceDN w:val="0"/>
        <w:adjustRightInd w:val="0"/>
        <w:rPr>
          <w:rFonts w:cs="Times New Roman"/>
        </w:rPr>
      </w:pPr>
      <w:r w:rsidRPr="00DD5F1F">
        <w:rPr>
          <w:rFonts w:cs="Times New Roman"/>
          <w:b/>
          <w:sz w:val="22"/>
          <w:szCs w:val="22"/>
        </w:rPr>
        <w:t>Three have lowered their requirement since the 2016 research by APSC</w:t>
      </w:r>
      <w:r w:rsidRPr="00DD5F1F">
        <w:rPr>
          <w:rFonts w:cs="Times New Roman"/>
          <w:sz w:val="22"/>
          <w:szCs w:val="22"/>
        </w:rPr>
        <w:t>. These institutions are: Towson University, Northern Michigan University, and Oakland University.</w:t>
      </w:r>
    </w:p>
    <w:p w14:paraId="7309C968" w14:textId="77777777" w:rsidR="00A9464B" w:rsidRPr="00DD5F1F" w:rsidRDefault="00A9464B" w:rsidP="00A9464B">
      <w:pPr>
        <w:pStyle w:val="ListParagraph"/>
        <w:widowControl w:val="0"/>
        <w:numPr>
          <w:ilvl w:val="0"/>
          <w:numId w:val="6"/>
        </w:numPr>
        <w:autoSpaceDE w:val="0"/>
        <w:autoSpaceDN w:val="0"/>
        <w:adjustRightInd w:val="0"/>
        <w:rPr>
          <w:rFonts w:cs="Times New Roman"/>
        </w:rPr>
      </w:pPr>
      <w:r w:rsidRPr="00DD5F1F">
        <w:rPr>
          <w:rFonts w:cs="Times New Roman"/>
          <w:sz w:val="22"/>
          <w:szCs w:val="22"/>
        </w:rPr>
        <w:t xml:space="preserve">The majority of institutions (22) have not changed their policy since 2016. </w:t>
      </w:r>
    </w:p>
    <w:p w14:paraId="319377AA" w14:textId="77777777" w:rsidR="00A9464B" w:rsidRPr="00DD5F1F" w:rsidRDefault="00A9464B" w:rsidP="00A9464B">
      <w:pPr>
        <w:pStyle w:val="ListParagraph"/>
        <w:widowControl w:val="0"/>
        <w:numPr>
          <w:ilvl w:val="0"/>
          <w:numId w:val="6"/>
        </w:numPr>
        <w:autoSpaceDE w:val="0"/>
        <w:autoSpaceDN w:val="0"/>
        <w:adjustRightInd w:val="0"/>
        <w:rPr>
          <w:rFonts w:cs="Times New Roman"/>
        </w:rPr>
      </w:pPr>
      <w:r w:rsidRPr="00DD5F1F">
        <w:rPr>
          <w:rFonts w:cs="Times New Roman"/>
          <w:sz w:val="22"/>
          <w:szCs w:val="22"/>
        </w:rPr>
        <w:t>GVSU is in good company with universities in the 55-60 credit range. In Michigan, they are: Michigan State, Ferris State, Eastern Michigan, Western Michigan, Central Michigan, Saginaw Valley State, Wayne State, UM-Ann Arbor, and UM-Dearborn.  Out of state schools in the 55-60 credit range are: James Madison, Montclair State, Youngstown State, Western Washington, U of Nebraska-Omaha, and U of Northern Iowa. </w:t>
      </w:r>
    </w:p>
    <w:p w14:paraId="01627580" w14:textId="77777777" w:rsidR="00A9464B" w:rsidRPr="00DD5F1F" w:rsidRDefault="00A9464B" w:rsidP="00A9464B">
      <w:pPr>
        <w:widowControl w:val="0"/>
        <w:autoSpaceDE w:val="0"/>
        <w:autoSpaceDN w:val="0"/>
        <w:adjustRightInd w:val="0"/>
        <w:rPr>
          <w:rFonts w:cs="Times New Roman"/>
        </w:rPr>
      </w:pPr>
    </w:p>
    <w:p w14:paraId="32D6C6FA" w14:textId="2B42D359" w:rsidR="00782290" w:rsidRPr="00DD5F1F" w:rsidRDefault="00782290" w:rsidP="00782290">
      <w:pPr>
        <w:pStyle w:val="BodyA"/>
        <w:rPr>
          <w:rFonts w:eastAsia="Calibri" w:cstheme="minorHAnsi"/>
          <w:u w:val="single"/>
        </w:rPr>
      </w:pPr>
      <w:r w:rsidRPr="00782290">
        <w:rPr>
          <w:rFonts w:eastAsia="Calibri" w:cstheme="minorHAnsi"/>
        </w:rPr>
        <w:t xml:space="preserve">    </w:t>
      </w:r>
      <w:r w:rsidR="002A3826" w:rsidRPr="002A3826">
        <w:rPr>
          <w:rFonts w:eastAsia="Calibri" w:cstheme="minorHAnsi"/>
          <w:b/>
          <w:u w:val="single"/>
        </w:rPr>
        <w:t>d.1</w:t>
      </w:r>
      <w:r w:rsidRPr="002A3826">
        <w:rPr>
          <w:rFonts w:eastAsia="Calibri" w:cstheme="minorHAnsi"/>
          <w:b/>
          <w:u w:val="single"/>
        </w:rPr>
        <w:t xml:space="preserve">  Action Items</w:t>
      </w:r>
      <w:r w:rsidRPr="00DD5F1F">
        <w:rPr>
          <w:rFonts w:eastAsia="Calibri" w:cstheme="minorHAnsi"/>
          <w:u w:val="single"/>
        </w:rPr>
        <w:t>:</w:t>
      </w:r>
    </w:p>
    <w:p w14:paraId="39426094" w14:textId="4DA08789" w:rsidR="00A9464B" w:rsidRPr="00DD5F1F" w:rsidRDefault="00782290" w:rsidP="00A9464B">
      <w:pPr>
        <w:widowControl w:val="0"/>
        <w:autoSpaceDE w:val="0"/>
        <w:autoSpaceDN w:val="0"/>
        <w:adjustRightInd w:val="0"/>
        <w:rPr>
          <w:rFonts w:cs="Times New Roman"/>
        </w:rPr>
      </w:pPr>
      <w:r>
        <w:rPr>
          <w:rFonts w:cs="Times New Roman"/>
        </w:rPr>
        <w:t xml:space="preserve">    </w:t>
      </w:r>
      <w:r w:rsidR="00E42341">
        <w:rPr>
          <w:rFonts w:cs="Times New Roman"/>
        </w:rPr>
        <w:t xml:space="preserve"> </w:t>
      </w:r>
      <w:r>
        <w:rPr>
          <w:rFonts w:cs="Times New Roman"/>
        </w:rPr>
        <w:t xml:space="preserve"> </w:t>
      </w:r>
      <w:r w:rsidR="00E42341" w:rsidRPr="002A3826">
        <w:rPr>
          <w:rFonts w:cs="Times New Roman"/>
          <w:b/>
        </w:rPr>
        <w:t>1.</w:t>
      </w:r>
      <w:r w:rsidRPr="002A3826">
        <w:rPr>
          <w:rFonts w:cs="Times New Roman"/>
          <w:b/>
        </w:rPr>
        <w:t xml:space="preserve"> </w:t>
      </w:r>
      <w:r w:rsidR="00A9464B" w:rsidRPr="002A3826">
        <w:rPr>
          <w:rFonts w:cs="Times New Roman"/>
          <w:b/>
        </w:rPr>
        <w:t>Motion</w:t>
      </w:r>
      <w:r w:rsidR="00A9464B" w:rsidRPr="00DD5F1F">
        <w:rPr>
          <w:rFonts w:cs="Times New Roman"/>
        </w:rPr>
        <w:t>: Based on these findings, it seems reasonable to recommend the following:</w:t>
      </w:r>
    </w:p>
    <w:p w14:paraId="3FBFA420" w14:textId="77777777" w:rsidR="00A9464B" w:rsidRPr="00DD5F1F" w:rsidRDefault="00A9464B" w:rsidP="00A9464B">
      <w:pPr>
        <w:pStyle w:val="ListParagraph"/>
        <w:widowControl w:val="0"/>
        <w:numPr>
          <w:ilvl w:val="0"/>
          <w:numId w:val="7"/>
        </w:numPr>
        <w:autoSpaceDE w:val="0"/>
        <w:autoSpaceDN w:val="0"/>
        <w:adjustRightInd w:val="0"/>
        <w:rPr>
          <w:rFonts w:cs="Times New Roman"/>
        </w:rPr>
      </w:pPr>
      <w:r w:rsidRPr="00DD5F1F">
        <w:rPr>
          <w:rFonts w:cs="Times New Roman"/>
        </w:rPr>
        <w:t>GVSU should maintain a 58-credit Senior Institution requirement.</w:t>
      </w:r>
    </w:p>
    <w:p w14:paraId="36084035" w14:textId="77777777" w:rsidR="00A9464B" w:rsidRPr="00DD5F1F" w:rsidRDefault="00A9464B" w:rsidP="00A9464B">
      <w:pPr>
        <w:pStyle w:val="ListParagraph"/>
        <w:widowControl w:val="0"/>
        <w:numPr>
          <w:ilvl w:val="0"/>
          <w:numId w:val="7"/>
        </w:numPr>
        <w:autoSpaceDE w:val="0"/>
        <w:autoSpaceDN w:val="0"/>
        <w:adjustRightInd w:val="0"/>
        <w:rPr>
          <w:rFonts w:cs="Times New Roman"/>
        </w:rPr>
      </w:pPr>
      <w:r w:rsidRPr="00DD5F1F">
        <w:rPr>
          <w:rFonts w:cs="Times New Roman"/>
        </w:rPr>
        <w:lastRenderedPageBreak/>
        <w:t>New programs can request exemptions for their majors. </w:t>
      </w:r>
    </w:p>
    <w:p w14:paraId="75941043" w14:textId="16FAB0A4" w:rsidR="00A9464B" w:rsidRDefault="00A9464B" w:rsidP="00A9464B">
      <w:pPr>
        <w:pStyle w:val="ListParagraph"/>
        <w:widowControl w:val="0"/>
        <w:numPr>
          <w:ilvl w:val="0"/>
          <w:numId w:val="7"/>
        </w:numPr>
        <w:autoSpaceDE w:val="0"/>
        <w:autoSpaceDN w:val="0"/>
        <w:adjustRightInd w:val="0"/>
        <w:rPr>
          <w:rFonts w:cs="Times New Roman"/>
        </w:rPr>
      </w:pPr>
      <w:r w:rsidRPr="00DD5F1F">
        <w:rPr>
          <w:rFonts w:cs="Times New Roman"/>
        </w:rPr>
        <w:t>APSC will revisit this issue in another 5 years unless a change in the number of exemption requests suggest that the policy be revisited sooner.</w:t>
      </w:r>
    </w:p>
    <w:p w14:paraId="2A57515B" w14:textId="051D2B9A" w:rsidR="00E42341" w:rsidRPr="00E42341" w:rsidRDefault="00E42341" w:rsidP="00E42341">
      <w:pPr>
        <w:widowControl w:val="0"/>
        <w:autoSpaceDE w:val="0"/>
        <w:autoSpaceDN w:val="0"/>
        <w:adjustRightInd w:val="0"/>
        <w:ind w:left="360"/>
        <w:rPr>
          <w:rFonts w:cs="Times New Roman"/>
        </w:rPr>
      </w:pPr>
      <w:r w:rsidRPr="002A3826">
        <w:rPr>
          <w:rFonts w:cs="Times New Roman"/>
          <w:b/>
        </w:rPr>
        <w:t>2. Motion</w:t>
      </w:r>
      <w:r>
        <w:rPr>
          <w:rFonts w:cs="Times New Roman"/>
        </w:rPr>
        <w:t>: Slager, 2</w:t>
      </w:r>
      <w:r w:rsidRPr="00E42341">
        <w:rPr>
          <w:rFonts w:cs="Times New Roman"/>
          <w:vertAlign w:val="superscript"/>
        </w:rPr>
        <w:t>nd</w:t>
      </w:r>
      <w:r>
        <w:rPr>
          <w:rFonts w:cs="Times New Roman"/>
        </w:rPr>
        <w:t xml:space="preserve"> Corneal, motion passed</w:t>
      </w:r>
    </w:p>
    <w:p w14:paraId="002F8065" w14:textId="77777777" w:rsidR="007523F3" w:rsidRPr="00DD5F1F" w:rsidRDefault="007523F3" w:rsidP="00AD4764">
      <w:pPr>
        <w:pStyle w:val="BodyA"/>
        <w:rPr>
          <w:rFonts w:eastAsia="Calibri" w:cstheme="minorHAnsi"/>
        </w:rPr>
      </w:pPr>
    </w:p>
    <w:p w14:paraId="0846FCE8" w14:textId="1B53FD77" w:rsidR="00C02D92" w:rsidRPr="00DD5F1F" w:rsidRDefault="006055A8" w:rsidP="00AD4764">
      <w:pPr>
        <w:pStyle w:val="BodyA"/>
        <w:rPr>
          <w:rFonts w:eastAsia="Calibri" w:cstheme="minorHAnsi"/>
        </w:rPr>
      </w:pPr>
      <w:r w:rsidRPr="00DD5F1F">
        <w:rPr>
          <w:rFonts w:eastAsia="Calibri" w:cstheme="minorHAnsi"/>
        </w:rPr>
        <w:t xml:space="preserve">                          </w:t>
      </w:r>
      <w:r w:rsidRPr="00DD5F1F">
        <w:rPr>
          <w:rFonts w:eastAsia="Calibri" w:cstheme="minorHAnsi"/>
          <w:b/>
          <w:u w:val="single"/>
        </w:rPr>
        <w:t>e</w:t>
      </w:r>
      <w:r w:rsidR="002347B7" w:rsidRPr="00DD5F1F">
        <w:rPr>
          <w:rFonts w:eastAsia="Calibri" w:cstheme="minorHAnsi"/>
          <w:b/>
          <w:u w:val="single"/>
        </w:rPr>
        <w:t xml:space="preserve">. </w:t>
      </w:r>
      <w:r w:rsidR="00C02D92" w:rsidRPr="00DD5F1F">
        <w:rPr>
          <w:rFonts w:eastAsia="Calibri" w:cstheme="minorHAnsi"/>
          <w:b/>
          <w:u w:val="single"/>
        </w:rPr>
        <w:t>Test-optional admissions</w:t>
      </w:r>
      <w:r w:rsidR="00C02D92" w:rsidRPr="00DD5F1F">
        <w:rPr>
          <w:rFonts w:eastAsia="Calibri" w:cstheme="minorHAnsi"/>
        </w:rPr>
        <w:t xml:space="preserve"> – Carolyn, </w:t>
      </w:r>
      <w:r w:rsidR="002347B7" w:rsidRPr="00DD5F1F">
        <w:rPr>
          <w:rFonts w:eastAsia="Calibri" w:cstheme="minorHAnsi"/>
        </w:rPr>
        <w:t>Lindsay</w:t>
      </w:r>
      <w:r w:rsidR="00C02D92" w:rsidRPr="00DD5F1F">
        <w:rPr>
          <w:rFonts w:eastAsia="Calibri" w:cstheme="minorHAnsi"/>
        </w:rPr>
        <w:t>, &amp; Nagnon</w:t>
      </w:r>
    </w:p>
    <w:p w14:paraId="5E95C965" w14:textId="3017EE68" w:rsidR="00C56B31" w:rsidRDefault="00C56B31" w:rsidP="002347B7">
      <w:pPr>
        <w:pStyle w:val="BodyA"/>
        <w:ind w:left="1440"/>
        <w:rPr>
          <w:rFonts w:eastAsia="Calibri" w:cstheme="minorHAnsi"/>
        </w:rPr>
      </w:pPr>
      <w:r w:rsidRPr="00DD5F1F">
        <w:rPr>
          <w:rFonts w:eastAsia="Calibri" w:cstheme="minorHAnsi"/>
        </w:rPr>
        <w:t xml:space="preserve">Shapiro-Shapin reported on findings related to various disciplines, notes </w:t>
      </w:r>
      <w:r w:rsidR="00053B6A" w:rsidRPr="00DD5F1F">
        <w:rPr>
          <w:rFonts w:eastAsia="Calibri" w:cstheme="minorHAnsi"/>
        </w:rPr>
        <w:t>that</w:t>
      </w:r>
      <w:r w:rsidRPr="00DD5F1F">
        <w:rPr>
          <w:rFonts w:eastAsia="Calibri" w:cstheme="minorHAnsi"/>
        </w:rPr>
        <w:t xml:space="preserve"> math courses are significantly impacted.  Bennet reiterated concerns related to timing of preliminary registration appointments and actual registration for courses. Corneal and Shapiro-Shapin noted discussion occurs at these appointments which provides some clarity.  Diarrassouba expressed concern about “exceptional criteria” </w:t>
      </w:r>
      <w:r w:rsidR="00053B6A" w:rsidRPr="00DD5F1F">
        <w:rPr>
          <w:rFonts w:eastAsia="Calibri" w:cstheme="minorHAnsi"/>
        </w:rPr>
        <w:t>e.g.,</w:t>
      </w:r>
      <w:r w:rsidRPr="00DD5F1F">
        <w:rPr>
          <w:rFonts w:eastAsia="Calibri" w:cstheme="minorHAnsi"/>
        </w:rPr>
        <w:t xml:space="preserve"> during the pandemic</w:t>
      </w:r>
      <w:r w:rsidR="00AD4764" w:rsidRPr="00DD5F1F">
        <w:rPr>
          <w:rFonts w:eastAsia="Calibri" w:cstheme="minorHAnsi"/>
        </w:rPr>
        <w:t>, but on further reflection, felt that this policy adequately addressed most exceptional circumstances</w:t>
      </w:r>
      <w:r w:rsidRPr="00DD5F1F">
        <w:rPr>
          <w:rFonts w:eastAsia="Calibri" w:cstheme="minorHAnsi"/>
        </w:rPr>
        <w:t xml:space="preserve">.  </w:t>
      </w:r>
    </w:p>
    <w:p w14:paraId="0E6D0AA4" w14:textId="77777777" w:rsidR="00E42341" w:rsidRPr="00DD5F1F" w:rsidRDefault="00E42341" w:rsidP="002347B7">
      <w:pPr>
        <w:pStyle w:val="BodyA"/>
        <w:ind w:left="1440"/>
        <w:rPr>
          <w:rFonts w:eastAsia="Calibri" w:cstheme="minorHAnsi"/>
        </w:rPr>
      </w:pPr>
    </w:p>
    <w:p w14:paraId="69BD7240" w14:textId="671DAC87" w:rsidR="002347B7" w:rsidRPr="00DD5F1F" w:rsidRDefault="00782290" w:rsidP="00782290">
      <w:pPr>
        <w:pStyle w:val="BodyA"/>
        <w:rPr>
          <w:rFonts w:eastAsia="Calibri" w:cstheme="minorHAnsi"/>
        </w:rPr>
      </w:pPr>
      <w:r w:rsidRPr="00E42341">
        <w:rPr>
          <w:rFonts w:eastAsia="Calibri" w:cstheme="minorHAnsi"/>
        </w:rPr>
        <w:t xml:space="preserve">   </w:t>
      </w:r>
      <w:r w:rsidR="002A3826" w:rsidRPr="002A3826">
        <w:rPr>
          <w:rFonts w:eastAsia="Calibri" w:cstheme="minorHAnsi"/>
          <w:b/>
          <w:u w:val="single"/>
        </w:rPr>
        <w:t xml:space="preserve">e.1 </w:t>
      </w:r>
      <w:r w:rsidR="002347B7" w:rsidRPr="002A3826">
        <w:rPr>
          <w:rFonts w:eastAsia="Calibri" w:cstheme="minorHAnsi"/>
          <w:b/>
          <w:u w:val="single"/>
        </w:rPr>
        <w:t>Action Items</w:t>
      </w:r>
      <w:r w:rsidR="002347B7" w:rsidRPr="00DD5F1F">
        <w:rPr>
          <w:rFonts w:eastAsia="Calibri" w:cstheme="minorHAnsi"/>
        </w:rPr>
        <w:t>:</w:t>
      </w:r>
    </w:p>
    <w:p w14:paraId="32A91A5A" w14:textId="27A97B06" w:rsidR="00782290" w:rsidRDefault="00782290" w:rsidP="00782290">
      <w:pPr>
        <w:pStyle w:val="BodyA"/>
        <w:rPr>
          <w:rFonts w:eastAsia="Calibri" w:cstheme="minorHAnsi"/>
        </w:rPr>
      </w:pPr>
      <w:r>
        <w:rPr>
          <w:rFonts w:eastAsia="Calibri" w:cstheme="minorHAnsi"/>
        </w:rPr>
        <w:t xml:space="preserve"> </w:t>
      </w:r>
      <w:r w:rsidR="00E42341">
        <w:rPr>
          <w:rFonts w:eastAsia="Calibri" w:cstheme="minorHAnsi"/>
        </w:rPr>
        <w:t xml:space="preserve">  </w:t>
      </w:r>
      <w:r w:rsidR="00E42341" w:rsidRPr="002A3826">
        <w:rPr>
          <w:rFonts w:eastAsia="Calibri" w:cstheme="minorHAnsi"/>
          <w:b/>
        </w:rPr>
        <w:t>1.</w:t>
      </w:r>
      <w:r w:rsidRPr="002A3826">
        <w:rPr>
          <w:rFonts w:eastAsia="Calibri" w:cstheme="minorHAnsi"/>
          <w:b/>
        </w:rPr>
        <w:t xml:space="preserve">  </w:t>
      </w:r>
      <w:r w:rsidR="00AD4764" w:rsidRPr="002A3826">
        <w:rPr>
          <w:rFonts w:eastAsia="Calibri" w:cstheme="minorHAnsi"/>
          <w:b/>
        </w:rPr>
        <w:t>Motion</w:t>
      </w:r>
      <w:r w:rsidR="00AD4764" w:rsidRPr="00DD5F1F">
        <w:rPr>
          <w:rFonts w:eastAsia="Calibri" w:cstheme="minorHAnsi"/>
        </w:rPr>
        <w:t xml:space="preserve">: We recommend that if students do not submit ACT/SAT results for admission </w:t>
      </w:r>
    </w:p>
    <w:p w14:paraId="1ADA7EBC" w14:textId="77777777" w:rsidR="00E42341" w:rsidRDefault="00782290" w:rsidP="00E42341">
      <w:pPr>
        <w:pStyle w:val="BodyA"/>
        <w:rPr>
          <w:rFonts w:eastAsia="Calibri" w:cstheme="minorHAnsi"/>
        </w:rPr>
      </w:pPr>
      <w:r>
        <w:rPr>
          <w:rFonts w:eastAsia="Calibri" w:cstheme="minorHAnsi"/>
        </w:rPr>
        <w:t xml:space="preserve">     </w:t>
      </w:r>
      <w:r w:rsidR="00AD4764" w:rsidRPr="00DD5F1F">
        <w:rPr>
          <w:rFonts w:eastAsia="Calibri" w:cstheme="minorHAnsi"/>
        </w:rPr>
        <w:t>that they would need to do one of the following:</w:t>
      </w:r>
      <w:r w:rsidR="00E42341">
        <w:rPr>
          <w:rFonts w:eastAsia="Calibri" w:cstheme="minorHAnsi"/>
        </w:rPr>
        <w:t xml:space="preserve"> </w:t>
      </w:r>
    </w:p>
    <w:p w14:paraId="4873E856" w14:textId="77777777" w:rsidR="00E42341" w:rsidRDefault="00AD4764" w:rsidP="0009423D">
      <w:pPr>
        <w:pStyle w:val="BodyA"/>
        <w:numPr>
          <w:ilvl w:val="0"/>
          <w:numId w:val="9"/>
        </w:numPr>
        <w:ind w:firstLine="720"/>
        <w:rPr>
          <w:rFonts w:eastAsia="Calibri" w:cstheme="minorHAnsi"/>
        </w:rPr>
      </w:pPr>
      <w:r w:rsidRPr="00E42341">
        <w:rPr>
          <w:rFonts w:eastAsia="Calibri" w:cstheme="minorHAnsi"/>
        </w:rPr>
        <w:t>provide ACT/SAT scores</w:t>
      </w:r>
    </w:p>
    <w:p w14:paraId="5E5E7D18" w14:textId="165B8F17" w:rsidR="00E42341" w:rsidRDefault="00AD4764" w:rsidP="00870A91">
      <w:pPr>
        <w:pStyle w:val="BodyA"/>
        <w:numPr>
          <w:ilvl w:val="0"/>
          <w:numId w:val="9"/>
        </w:numPr>
        <w:ind w:firstLine="720"/>
        <w:rPr>
          <w:rFonts w:eastAsia="Calibri" w:cstheme="minorHAnsi"/>
        </w:rPr>
      </w:pPr>
      <w:r w:rsidRPr="00E42341">
        <w:rPr>
          <w:rFonts w:eastAsia="Calibri" w:cstheme="minorHAnsi"/>
        </w:rPr>
        <w:t xml:space="preserve">indicate that they have completed AP </w:t>
      </w:r>
      <w:r w:rsidR="00053B6A" w:rsidRPr="00E42341">
        <w:rPr>
          <w:rFonts w:eastAsia="Calibri" w:cstheme="minorHAnsi"/>
        </w:rPr>
        <w:t>calculus</w:t>
      </w:r>
      <w:r w:rsidRPr="00E42341">
        <w:rPr>
          <w:rFonts w:eastAsia="Calibri" w:cstheme="minorHAnsi"/>
        </w:rPr>
        <w:t xml:space="preserve"> AB or BC</w:t>
      </w:r>
    </w:p>
    <w:p w14:paraId="78B117E4" w14:textId="77777777" w:rsidR="00E42341" w:rsidRDefault="00AD4764" w:rsidP="00496BFD">
      <w:pPr>
        <w:pStyle w:val="BodyA"/>
        <w:numPr>
          <w:ilvl w:val="0"/>
          <w:numId w:val="9"/>
        </w:numPr>
        <w:ind w:firstLine="720"/>
        <w:rPr>
          <w:rFonts w:eastAsia="Calibri" w:cstheme="minorHAnsi"/>
        </w:rPr>
      </w:pPr>
      <w:r w:rsidRPr="00E42341">
        <w:rPr>
          <w:rFonts w:eastAsia="Calibri" w:cstheme="minorHAnsi"/>
        </w:rPr>
        <w:t>provide evidence of transfer credit for a college level math course</w:t>
      </w:r>
      <w:r w:rsidR="00E42341" w:rsidRPr="00E42341">
        <w:rPr>
          <w:rFonts w:eastAsia="Calibri" w:cstheme="minorHAnsi"/>
        </w:rPr>
        <w:t xml:space="preserve"> </w:t>
      </w:r>
    </w:p>
    <w:p w14:paraId="26A47EFF" w14:textId="70DEC575" w:rsidR="00AD4764" w:rsidRPr="00E42341" w:rsidRDefault="00AD4764" w:rsidP="00496BFD">
      <w:pPr>
        <w:pStyle w:val="BodyA"/>
        <w:numPr>
          <w:ilvl w:val="0"/>
          <w:numId w:val="9"/>
        </w:numPr>
        <w:ind w:firstLine="720"/>
        <w:rPr>
          <w:rFonts w:eastAsia="Calibri" w:cstheme="minorHAnsi"/>
        </w:rPr>
      </w:pPr>
      <w:r w:rsidRPr="00E42341">
        <w:rPr>
          <w:rFonts w:eastAsia="Calibri" w:cstheme="minorHAnsi"/>
        </w:rPr>
        <w:t>Complete the GVSU math placement exam</w:t>
      </w:r>
    </w:p>
    <w:p w14:paraId="0279E254" w14:textId="77777777" w:rsidR="00782290" w:rsidRDefault="00782290" w:rsidP="00782290">
      <w:pPr>
        <w:pStyle w:val="BodyA"/>
        <w:rPr>
          <w:rFonts w:eastAsia="Calibri" w:cstheme="minorHAnsi"/>
        </w:rPr>
      </w:pPr>
      <w:r>
        <w:rPr>
          <w:rFonts w:eastAsia="Calibri" w:cstheme="minorHAnsi"/>
        </w:rPr>
        <w:t xml:space="preserve">      </w:t>
      </w:r>
      <w:r w:rsidR="00AD4764" w:rsidRPr="00DD5F1F">
        <w:rPr>
          <w:rFonts w:eastAsia="Calibri" w:cstheme="minorHAnsi"/>
        </w:rPr>
        <w:t xml:space="preserve">Before they can attend their Fisrt-Year advising registration appointment. Schedules </w:t>
      </w:r>
    </w:p>
    <w:p w14:paraId="0271D32A" w14:textId="77777777" w:rsidR="00782290" w:rsidRDefault="00782290" w:rsidP="00782290">
      <w:pPr>
        <w:pStyle w:val="BodyA"/>
        <w:rPr>
          <w:rFonts w:eastAsia="Calibri" w:cstheme="minorHAnsi"/>
        </w:rPr>
      </w:pPr>
      <w:r>
        <w:rPr>
          <w:rFonts w:eastAsia="Calibri" w:cstheme="minorHAnsi"/>
        </w:rPr>
        <w:t xml:space="preserve">      </w:t>
      </w:r>
      <w:r w:rsidR="00AD4764" w:rsidRPr="00DD5F1F">
        <w:rPr>
          <w:rFonts w:eastAsia="Calibri" w:cstheme="minorHAnsi"/>
        </w:rPr>
        <w:t xml:space="preserve">cannot attend be accurately prepared for students without some sort of indicator about </w:t>
      </w:r>
    </w:p>
    <w:p w14:paraId="27791C71" w14:textId="42E36610" w:rsidR="00AD4764" w:rsidRPr="00DD5F1F" w:rsidRDefault="00782290" w:rsidP="00782290">
      <w:pPr>
        <w:pStyle w:val="BodyA"/>
        <w:rPr>
          <w:rFonts w:eastAsia="Calibri" w:cstheme="minorHAnsi"/>
        </w:rPr>
      </w:pPr>
      <w:r>
        <w:rPr>
          <w:rFonts w:eastAsia="Calibri" w:cstheme="minorHAnsi"/>
        </w:rPr>
        <w:t xml:space="preserve">      </w:t>
      </w:r>
      <w:r w:rsidR="00AD4764" w:rsidRPr="00DD5F1F">
        <w:rPr>
          <w:rFonts w:eastAsia="Calibri" w:cstheme="minorHAnsi"/>
        </w:rPr>
        <w:t xml:space="preserve">which math class is </w:t>
      </w:r>
      <w:r w:rsidR="00053B6A" w:rsidRPr="00DD5F1F">
        <w:rPr>
          <w:rFonts w:eastAsia="Calibri" w:cstheme="minorHAnsi"/>
        </w:rPr>
        <w:t>appropria</w:t>
      </w:r>
      <w:r w:rsidR="00053B6A">
        <w:rPr>
          <w:rFonts w:eastAsia="Calibri" w:cstheme="minorHAnsi"/>
        </w:rPr>
        <w:t>te</w:t>
      </w:r>
      <w:r w:rsidR="00AD4764" w:rsidRPr="00DD5F1F">
        <w:rPr>
          <w:rFonts w:eastAsia="Calibri" w:cstheme="minorHAnsi"/>
        </w:rPr>
        <w:t xml:space="preserve"> for </w:t>
      </w:r>
      <w:r w:rsidR="00053B6A" w:rsidRPr="00DD5F1F">
        <w:rPr>
          <w:rFonts w:eastAsia="Calibri" w:cstheme="minorHAnsi"/>
        </w:rPr>
        <w:t>their</w:t>
      </w:r>
      <w:r w:rsidR="00AD4764" w:rsidRPr="00DD5F1F">
        <w:rPr>
          <w:rFonts w:eastAsia="Calibri" w:cstheme="minorHAnsi"/>
        </w:rPr>
        <w:t xml:space="preserve"> first </w:t>
      </w:r>
      <w:r w:rsidR="00053B6A" w:rsidRPr="00DD5F1F">
        <w:rPr>
          <w:rFonts w:eastAsia="Calibri" w:cstheme="minorHAnsi"/>
        </w:rPr>
        <w:t>year?</w:t>
      </w:r>
      <w:r w:rsidR="00AD4764" w:rsidRPr="00DD5F1F">
        <w:rPr>
          <w:rFonts w:eastAsia="Calibri" w:cstheme="minorHAnsi"/>
        </w:rPr>
        <w:t xml:space="preserve">  </w:t>
      </w:r>
    </w:p>
    <w:p w14:paraId="73976DF2" w14:textId="12789402" w:rsidR="00AD4764" w:rsidRPr="00DD5F1F" w:rsidRDefault="00782290" w:rsidP="00782290">
      <w:pPr>
        <w:pStyle w:val="BodyA"/>
        <w:rPr>
          <w:rFonts w:eastAsia="Calibri" w:cstheme="minorHAnsi"/>
        </w:rPr>
      </w:pPr>
      <w:r w:rsidRPr="002A3826">
        <w:rPr>
          <w:rFonts w:eastAsia="Calibri" w:cstheme="minorHAnsi"/>
          <w:b/>
        </w:rPr>
        <w:t xml:space="preserve">    </w:t>
      </w:r>
      <w:r w:rsidR="00E42341" w:rsidRPr="002A3826">
        <w:rPr>
          <w:rFonts w:eastAsia="Calibri" w:cstheme="minorHAnsi"/>
          <w:b/>
        </w:rPr>
        <w:t xml:space="preserve">2.  </w:t>
      </w:r>
      <w:r w:rsidR="00AD4764" w:rsidRPr="002A3826">
        <w:rPr>
          <w:rFonts w:eastAsia="Calibri" w:cstheme="minorHAnsi"/>
          <w:b/>
        </w:rPr>
        <w:t>Motion:</w:t>
      </w:r>
      <w:r w:rsidR="00AD4764" w:rsidRPr="00DD5F1F">
        <w:rPr>
          <w:rFonts w:eastAsia="Calibri" w:cstheme="minorHAnsi"/>
        </w:rPr>
        <w:t xml:space="preserve"> Diarrassouba, 2</w:t>
      </w:r>
      <w:r w:rsidR="00AD4764" w:rsidRPr="00DD5F1F">
        <w:rPr>
          <w:rFonts w:eastAsia="Calibri" w:cstheme="minorHAnsi"/>
          <w:vertAlign w:val="superscript"/>
        </w:rPr>
        <w:t>nd</w:t>
      </w:r>
      <w:r w:rsidR="00AD4764" w:rsidRPr="00DD5F1F">
        <w:rPr>
          <w:rFonts w:eastAsia="Calibri" w:cstheme="minorHAnsi"/>
        </w:rPr>
        <w:t xml:space="preserve"> Carlson, motion passed</w:t>
      </w:r>
    </w:p>
    <w:p w14:paraId="14977D14" w14:textId="2613DD2A" w:rsidR="00AD4764" w:rsidRPr="00DD5F1F" w:rsidRDefault="007523F3" w:rsidP="004C1EE3">
      <w:pPr>
        <w:pStyle w:val="BodyA"/>
        <w:rPr>
          <w:rFonts w:eastAsia="Calibri" w:cstheme="minorHAnsi"/>
        </w:rPr>
      </w:pPr>
      <w:r w:rsidRPr="00DD5F1F">
        <w:rPr>
          <w:rFonts w:eastAsia="Calibri" w:cstheme="minorHAnsi"/>
        </w:rPr>
        <w:t xml:space="preserve">    </w:t>
      </w:r>
    </w:p>
    <w:p w14:paraId="63184F13" w14:textId="25D87F19" w:rsidR="007523F3" w:rsidRPr="00DD5F1F" w:rsidRDefault="007523F3" w:rsidP="004C1EE3">
      <w:pPr>
        <w:pStyle w:val="BodyA"/>
        <w:rPr>
          <w:rFonts w:eastAsia="Calibri" w:cstheme="minorHAnsi"/>
        </w:rPr>
      </w:pPr>
      <w:r w:rsidRPr="00DD5F1F">
        <w:rPr>
          <w:rFonts w:eastAsia="Calibri" w:cstheme="minorHAnsi"/>
        </w:rPr>
        <w:t>Tabled items due to time limitations:</w:t>
      </w:r>
    </w:p>
    <w:p w14:paraId="39BDB370" w14:textId="67578C93" w:rsidR="007523F3" w:rsidRPr="00DD5F1F" w:rsidRDefault="00AD4764" w:rsidP="007523F3">
      <w:pPr>
        <w:pStyle w:val="BodyA"/>
        <w:rPr>
          <w:rFonts w:eastAsia="Calibri" w:cstheme="minorHAnsi"/>
        </w:rPr>
      </w:pPr>
      <w:r w:rsidRPr="00DD5F1F">
        <w:rPr>
          <w:rFonts w:eastAsia="Calibri" w:cstheme="minorHAnsi"/>
        </w:rPr>
        <w:t xml:space="preserve">                           </w:t>
      </w:r>
      <w:r w:rsidRPr="00DD5F1F">
        <w:rPr>
          <w:rFonts w:eastAsia="Calibri" w:cstheme="minorHAnsi"/>
          <w:b/>
        </w:rPr>
        <w:t>f</w:t>
      </w:r>
      <w:r w:rsidRPr="00DD5F1F">
        <w:rPr>
          <w:rFonts w:eastAsia="Calibri" w:cstheme="minorHAnsi"/>
          <w:b/>
          <w:u w:val="single"/>
        </w:rPr>
        <w:t>. In-person exams on election day</w:t>
      </w:r>
      <w:r w:rsidRPr="00DD5F1F">
        <w:rPr>
          <w:rFonts w:eastAsia="Calibri" w:cstheme="minorHAnsi"/>
        </w:rPr>
        <w:t xml:space="preserve"> –</w:t>
      </w:r>
      <w:r w:rsidR="007523F3" w:rsidRPr="00DD5F1F">
        <w:rPr>
          <w:rFonts w:eastAsia="Calibri" w:cstheme="minorHAnsi"/>
        </w:rPr>
        <w:t>proposed policy:</w:t>
      </w:r>
      <w:r w:rsidR="00E42341">
        <w:rPr>
          <w:rFonts w:eastAsia="Calibri" w:cstheme="minorHAnsi"/>
        </w:rPr>
        <w:t xml:space="preserve"> </w:t>
      </w:r>
      <w:r w:rsidR="00E42341" w:rsidRPr="00DD5F1F">
        <w:rPr>
          <w:rFonts w:eastAsia="Calibri" w:cstheme="minorHAnsi"/>
        </w:rPr>
        <w:t>Diarrassouba</w:t>
      </w:r>
      <w:r w:rsidR="00E42341">
        <w:rPr>
          <w:rFonts w:eastAsia="Calibri" w:cstheme="minorHAnsi"/>
        </w:rPr>
        <w:t>, Slager</w:t>
      </w:r>
    </w:p>
    <w:p w14:paraId="119935DA" w14:textId="1E77EC9C" w:rsidR="007523F3" w:rsidRPr="00DD5F1F" w:rsidRDefault="007523F3" w:rsidP="007523F3">
      <w:pPr>
        <w:pStyle w:val="BodyA"/>
        <w:ind w:left="1440"/>
        <w:rPr>
          <w:rFonts w:eastAsia="Calibri" w:cstheme="minorHAnsi"/>
        </w:rPr>
      </w:pPr>
      <w:r w:rsidRPr="00DD5F1F">
        <w:rPr>
          <w:rFonts w:eastAsia="Calibri" w:cstheme="minorHAnsi"/>
          <w:b/>
          <w:u w:val="single"/>
        </w:rPr>
        <w:t>g. GVSU Graduate Honors Policy</w:t>
      </w:r>
      <w:r w:rsidRPr="00DD5F1F">
        <w:rPr>
          <w:rFonts w:eastAsia="Calibri" w:cstheme="minorHAnsi"/>
        </w:rPr>
        <w:t>—Working Group: Slager, Corneal, &amp; Machnick</w:t>
      </w:r>
    </w:p>
    <w:p w14:paraId="79BCE1AD" w14:textId="77777777" w:rsidR="007523F3" w:rsidRPr="00DD5F1F" w:rsidRDefault="007523F3" w:rsidP="007523F3">
      <w:pPr>
        <w:pStyle w:val="BodyA"/>
        <w:ind w:left="1440"/>
        <w:rPr>
          <w:rFonts w:eastAsia="Calibri" w:cstheme="minorHAnsi"/>
        </w:rPr>
      </w:pPr>
    </w:p>
    <w:p w14:paraId="5D136821" w14:textId="72C5B1A7" w:rsidR="00C02D92" w:rsidRPr="00DD5F1F" w:rsidRDefault="00C02D92" w:rsidP="00C02D92">
      <w:pPr>
        <w:pStyle w:val="BodyA"/>
        <w:numPr>
          <w:ilvl w:val="0"/>
          <w:numId w:val="1"/>
        </w:numPr>
        <w:rPr>
          <w:rFonts w:eastAsia="Calibri" w:cstheme="minorHAnsi"/>
        </w:rPr>
      </w:pPr>
      <w:r w:rsidRPr="00DD5F1F">
        <w:rPr>
          <w:rFonts w:eastAsia="Calibri" w:cstheme="minorHAnsi"/>
        </w:rPr>
        <w:t xml:space="preserve">New </w:t>
      </w:r>
      <w:r w:rsidR="00053B6A" w:rsidRPr="00DD5F1F">
        <w:rPr>
          <w:rFonts w:eastAsia="Calibri" w:cstheme="minorHAnsi"/>
        </w:rPr>
        <w:t>Business:</w:t>
      </w:r>
      <w:r w:rsidR="007523F3" w:rsidRPr="00DD5F1F">
        <w:rPr>
          <w:rFonts w:eastAsia="Calibri" w:cstheme="minorHAnsi"/>
        </w:rPr>
        <w:t xml:space="preserve"> no new business</w:t>
      </w:r>
    </w:p>
    <w:p w14:paraId="228C5244" w14:textId="5E2AB536" w:rsidR="007523F3" w:rsidRPr="00DD5F1F" w:rsidRDefault="007523F3" w:rsidP="007523F3">
      <w:pPr>
        <w:pStyle w:val="BodyA"/>
        <w:rPr>
          <w:rFonts w:eastAsia="Calibri" w:cstheme="minorHAnsi"/>
        </w:rPr>
      </w:pPr>
      <w:r w:rsidRPr="00DD5F1F">
        <w:rPr>
          <w:rFonts w:eastAsia="Calibri" w:cstheme="minorHAnsi"/>
        </w:rPr>
        <w:t xml:space="preserve">       5.    </w:t>
      </w:r>
      <w:r w:rsidR="001755E5" w:rsidRPr="00DD5F1F">
        <w:rPr>
          <w:rFonts w:eastAsia="Calibri" w:cstheme="minorHAnsi"/>
        </w:rPr>
        <w:t>Adjou</w:t>
      </w:r>
      <w:r w:rsidR="00C90F1F" w:rsidRPr="00DD5F1F">
        <w:rPr>
          <w:rFonts w:eastAsia="Calibri" w:cstheme="minorHAnsi"/>
        </w:rPr>
        <w:t>rn</w:t>
      </w:r>
      <w:r w:rsidRPr="00DD5F1F">
        <w:rPr>
          <w:rFonts w:eastAsia="Calibri" w:cstheme="minorHAnsi"/>
        </w:rPr>
        <w:t>: Move to approve: Shapiro-Shapin 2</w:t>
      </w:r>
      <w:r w:rsidRPr="00DD5F1F">
        <w:rPr>
          <w:rFonts w:eastAsia="Calibri" w:cstheme="minorHAnsi"/>
          <w:vertAlign w:val="superscript"/>
        </w:rPr>
        <w:t>nd</w:t>
      </w:r>
      <w:r w:rsidRPr="00DD5F1F">
        <w:rPr>
          <w:rFonts w:eastAsia="Calibri" w:cstheme="minorHAnsi"/>
        </w:rPr>
        <w:t xml:space="preserve"> L.Corneal, motion passed</w:t>
      </w:r>
    </w:p>
    <w:p w14:paraId="7C3CC1F5" w14:textId="77777777" w:rsidR="007523F3" w:rsidRPr="00DD5F1F" w:rsidRDefault="007523F3" w:rsidP="007523F3">
      <w:pPr>
        <w:pStyle w:val="BodyA"/>
        <w:rPr>
          <w:rFonts w:eastAsia="Calibri" w:cstheme="minorHAnsi"/>
        </w:rPr>
      </w:pPr>
    </w:p>
    <w:p w14:paraId="12A29CE0" w14:textId="77777777" w:rsidR="00AC7A37" w:rsidRPr="00DD5F1F" w:rsidRDefault="00AC7A37"/>
    <w:sectPr w:rsidR="00AC7A37" w:rsidRPr="00DD5F1F" w:rsidSect="00EA4CE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308"/>
    <w:multiLevelType w:val="hybridMultilevel"/>
    <w:tmpl w:val="B61AB4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BC1C21"/>
    <w:multiLevelType w:val="hybridMultilevel"/>
    <w:tmpl w:val="B05EB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E755F"/>
    <w:multiLevelType w:val="multilevel"/>
    <w:tmpl w:val="FE48D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18553C"/>
    <w:multiLevelType w:val="hybridMultilevel"/>
    <w:tmpl w:val="BE78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516AD"/>
    <w:multiLevelType w:val="hybridMultilevel"/>
    <w:tmpl w:val="35EAB6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F206492"/>
    <w:multiLevelType w:val="hybridMultilevel"/>
    <w:tmpl w:val="F2240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657E9"/>
    <w:multiLevelType w:val="hybridMultilevel"/>
    <w:tmpl w:val="B4025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737F22"/>
    <w:multiLevelType w:val="hybridMultilevel"/>
    <w:tmpl w:val="35985C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86E4A9A"/>
    <w:multiLevelType w:val="hybridMultilevel"/>
    <w:tmpl w:val="0B180F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8"/>
  </w:num>
  <w:num w:numId="3">
    <w:abstractNumId w:val="0"/>
  </w:num>
  <w:num w:numId="4">
    <w:abstractNumId w:val="7"/>
  </w:num>
  <w:num w:numId="5">
    <w:abstractNumId w:val="4"/>
  </w:num>
  <w:num w:numId="6">
    <w:abstractNumId w:val="3"/>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92"/>
    <w:rsid w:val="00053B6A"/>
    <w:rsid w:val="000A5D6B"/>
    <w:rsid w:val="00114B1A"/>
    <w:rsid w:val="001203D1"/>
    <w:rsid w:val="00166ABD"/>
    <w:rsid w:val="001755E5"/>
    <w:rsid w:val="002347B7"/>
    <w:rsid w:val="00292A63"/>
    <w:rsid w:val="002A3826"/>
    <w:rsid w:val="002D4C1B"/>
    <w:rsid w:val="00424343"/>
    <w:rsid w:val="00475CA2"/>
    <w:rsid w:val="004C1EE3"/>
    <w:rsid w:val="00537278"/>
    <w:rsid w:val="00540A1F"/>
    <w:rsid w:val="00544DC6"/>
    <w:rsid w:val="00551467"/>
    <w:rsid w:val="0055226A"/>
    <w:rsid w:val="005A364D"/>
    <w:rsid w:val="005B25F4"/>
    <w:rsid w:val="005C2091"/>
    <w:rsid w:val="005C4816"/>
    <w:rsid w:val="006055A8"/>
    <w:rsid w:val="00673FB4"/>
    <w:rsid w:val="006B66B8"/>
    <w:rsid w:val="00743D8C"/>
    <w:rsid w:val="007523F3"/>
    <w:rsid w:val="00782290"/>
    <w:rsid w:val="007A0148"/>
    <w:rsid w:val="00824706"/>
    <w:rsid w:val="009278E5"/>
    <w:rsid w:val="0093228C"/>
    <w:rsid w:val="0093403F"/>
    <w:rsid w:val="009B6418"/>
    <w:rsid w:val="00A21AD8"/>
    <w:rsid w:val="00A26289"/>
    <w:rsid w:val="00A40C7C"/>
    <w:rsid w:val="00A87135"/>
    <w:rsid w:val="00A9464B"/>
    <w:rsid w:val="00AC7A37"/>
    <w:rsid w:val="00AD4764"/>
    <w:rsid w:val="00B002F5"/>
    <w:rsid w:val="00C02D92"/>
    <w:rsid w:val="00C56B31"/>
    <w:rsid w:val="00C90F1F"/>
    <w:rsid w:val="00D4083A"/>
    <w:rsid w:val="00D77D59"/>
    <w:rsid w:val="00D836BB"/>
    <w:rsid w:val="00D94C68"/>
    <w:rsid w:val="00DB0FD4"/>
    <w:rsid w:val="00DD3AEB"/>
    <w:rsid w:val="00DD5F1F"/>
    <w:rsid w:val="00E42341"/>
    <w:rsid w:val="00E63C49"/>
    <w:rsid w:val="00E94302"/>
    <w:rsid w:val="00EA4CE5"/>
    <w:rsid w:val="00FE0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1CBF"/>
  <w15:chartTrackingRefBased/>
  <w15:docId w15:val="{76BF7A92-B855-0548-A841-AB1776F6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02D92"/>
    <w:pPr>
      <w:pBdr>
        <w:top w:val="nil"/>
        <w:left w:val="nil"/>
        <w:bottom w:val="nil"/>
        <w:right w:val="nil"/>
        <w:between w:val="nil"/>
        <w:bar w:val="nil"/>
      </w:pBdr>
      <w:tabs>
        <w:tab w:val="center" w:pos="4320"/>
        <w:tab w:val="right" w:pos="8640"/>
      </w:tabs>
    </w:pPr>
    <w:rPr>
      <w:rFonts w:eastAsia="Cambria" w:cs="Cambria"/>
      <w:color w:val="000000"/>
      <w:u w:color="000000"/>
      <w:bdr w:val="nil"/>
    </w:rPr>
  </w:style>
  <w:style w:type="character" w:customStyle="1" w:styleId="HeaderChar">
    <w:name w:val="Header Char"/>
    <w:basedOn w:val="DefaultParagraphFont"/>
    <w:link w:val="Header"/>
    <w:rsid w:val="00C02D92"/>
    <w:rPr>
      <w:rFonts w:eastAsia="Cambria" w:cs="Cambria"/>
      <w:color w:val="000000"/>
      <w:u w:color="000000"/>
      <w:bdr w:val="nil"/>
    </w:rPr>
  </w:style>
  <w:style w:type="paragraph" w:customStyle="1" w:styleId="BodyA">
    <w:name w:val="Body A"/>
    <w:rsid w:val="00C02D92"/>
    <w:pPr>
      <w:pBdr>
        <w:top w:val="nil"/>
        <w:left w:val="nil"/>
        <w:bottom w:val="nil"/>
        <w:right w:val="nil"/>
        <w:between w:val="nil"/>
        <w:bar w:val="nil"/>
      </w:pBdr>
    </w:pPr>
    <w:rPr>
      <w:rFonts w:eastAsia="Cambria" w:cs="Cambria"/>
      <w:color w:val="000000"/>
      <w:u w:color="000000"/>
      <w:bdr w:val="nil"/>
    </w:rPr>
  </w:style>
  <w:style w:type="character" w:styleId="Hyperlink">
    <w:name w:val="Hyperlink"/>
    <w:basedOn w:val="DefaultParagraphFont"/>
    <w:uiPriority w:val="99"/>
    <w:unhideWhenUsed/>
    <w:rsid w:val="00C90F1F"/>
    <w:rPr>
      <w:color w:val="0563C1" w:themeColor="hyperlink"/>
      <w:u w:val="single"/>
    </w:rPr>
  </w:style>
  <w:style w:type="character" w:customStyle="1" w:styleId="UnresolvedMention1">
    <w:name w:val="Unresolved Mention1"/>
    <w:basedOn w:val="DefaultParagraphFont"/>
    <w:uiPriority w:val="99"/>
    <w:semiHidden/>
    <w:unhideWhenUsed/>
    <w:rsid w:val="00C90F1F"/>
    <w:rPr>
      <w:color w:val="605E5C"/>
      <w:shd w:val="clear" w:color="auto" w:fill="E1DFDD"/>
    </w:rPr>
  </w:style>
  <w:style w:type="character" w:styleId="FollowedHyperlink">
    <w:name w:val="FollowedHyperlink"/>
    <w:basedOn w:val="DefaultParagraphFont"/>
    <w:uiPriority w:val="99"/>
    <w:semiHidden/>
    <w:unhideWhenUsed/>
    <w:rsid w:val="00C90F1F"/>
    <w:rPr>
      <w:color w:val="954F72" w:themeColor="followedHyperlink"/>
      <w:u w:val="single"/>
    </w:rPr>
  </w:style>
  <w:style w:type="paragraph" w:styleId="ListParagraph">
    <w:name w:val="List Paragraph"/>
    <w:basedOn w:val="Normal"/>
    <w:uiPriority w:val="34"/>
    <w:qFormat/>
    <w:rsid w:val="00C90F1F"/>
    <w:pPr>
      <w:ind w:left="720"/>
      <w:contextualSpacing/>
    </w:pPr>
  </w:style>
  <w:style w:type="paragraph" w:styleId="NormalWeb">
    <w:name w:val="Normal (Web)"/>
    <w:basedOn w:val="Normal"/>
    <w:uiPriority w:val="99"/>
    <w:unhideWhenUsed/>
    <w:rsid w:val="00DD5F1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970255">
      <w:bodyDiv w:val="1"/>
      <w:marLeft w:val="0"/>
      <w:marRight w:val="0"/>
      <w:marTop w:val="0"/>
      <w:marBottom w:val="0"/>
      <w:divBdr>
        <w:top w:val="none" w:sz="0" w:space="0" w:color="auto"/>
        <w:left w:val="none" w:sz="0" w:space="0" w:color="auto"/>
        <w:bottom w:val="none" w:sz="0" w:space="0" w:color="auto"/>
        <w:right w:val="none" w:sz="0" w:space="0" w:color="auto"/>
      </w:divBdr>
    </w:div>
    <w:div w:id="168697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vsu-edu.zoom.us/j/96228087128?pwd=OE91bmdNZXpjR2pDd0Mvb0x2M1VsZz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2021-12-17T19:46:00Z</dcterms:created>
  <dcterms:modified xsi:type="dcterms:W3CDTF">2021-12-17T19:50:00Z</dcterms:modified>
</cp:coreProperties>
</file>