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87243938446045" w:lineRule="auto"/>
        <w:ind w:left="19.468841552734375" w:right="57.540283203125" w:hanging="19.468841552734375"/>
        <w:jc w:val="left"/>
        <w:rPr>
          <w:rFonts w:ascii="Arial" w:cs="Arial" w:eastAsia="Arial" w:hAnsi="Arial"/>
          <w:b w:val="0"/>
          <w:i w:val="0"/>
          <w:smallCaps w:val="0"/>
          <w:strike w:val="0"/>
          <w:color w:val="23232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43600" cy="1778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778000"/>
                    </a:xfrm>
                    <a:prstGeom prst="rect"/>
                    <a:ln/>
                  </pic:spPr>
                </pic:pic>
              </a:graphicData>
            </a:graphic>
          </wp:inline>
        </w:drawing>
      </w:r>
      <w:r w:rsidDel="00000000" w:rsidR="00000000" w:rsidRPr="00000000">
        <w:rPr>
          <w:rFonts w:ascii="Arial" w:cs="Arial" w:eastAsia="Arial" w:hAnsi="Arial"/>
          <w:b w:val="0"/>
          <w:i w:val="0"/>
          <w:smallCaps w:val="0"/>
          <w:strike w:val="0"/>
          <w:color w:val="232323"/>
          <w:sz w:val="22.079999923706055"/>
          <w:szCs w:val="22.079999923706055"/>
          <w:u w:val="none"/>
          <w:shd w:fill="auto" w:val="clear"/>
          <w:vertAlign w:val="baseline"/>
          <w:rtl w:val="0"/>
        </w:rPr>
        <w:t xml:space="preserve">Fall 2024 was the 12th GVSU Teach-In!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5537109375" w:line="229.79985237121582" w:lineRule="auto"/>
        <w:ind w:left="8.2080078125" w:right="96.422119140625" w:hanging="4.6368408203125"/>
        <w:jc w:val="left"/>
        <w:rPr>
          <w:rFonts w:ascii="Arial" w:cs="Arial" w:eastAsia="Arial" w:hAnsi="Arial"/>
          <w:b w:val="0"/>
          <w:i w:val="0"/>
          <w:smallCaps w:val="0"/>
          <w:strike w:val="0"/>
          <w:color w:val="23232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The purpose of </w:t>
      </w:r>
      <w:r w:rsidDel="00000000" w:rsidR="00000000" w:rsidRPr="00000000">
        <w:rPr>
          <w:rFonts w:ascii="Arial" w:cs="Arial" w:eastAsia="Arial" w:hAnsi="Arial"/>
          <w:b w:val="0"/>
          <w:i w:val="0"/>
          <w:smallCaps w:val="0"/>
          <w:strike w:val="0"/>
          <w:color w:val="1155cc"/>
          <w:sz w:val="22.079999923706055"/>
          <w:szCs w:val="22.079999923706055"/>
          <w:highlight w:val="white"/>
          <w:u w:val="single"/>
          <w:vertAlign w:val="baseline"/>
          <w:rtl w:val="0"/>
        </w:rPr>
        <w:t xml:space="preserve">Teach-In</w:t>
      </w:r>
      <w:r w:rsidDel="00000000" w:rsidR="00000000" w:rsidRPr="00000000">
        <w:rPr>
          <w:rFonts w:ascii="Arial" w:cs="Arial" w:eastAsia="Arial" w:hAnsi="Arial"/>
          <w:b w:val="0"/>
          <w:i w:val="0"/>
          <w:smallCaps w:val="0"/>
          <w:strike w:val="0"/>
          <w:color w:val="1155cc"/>
          <w:sz w:val="22.079999923706055"/>
          <w:szCs w:val="22.079999923706055"/>
          <w:highlight w:val="white"/>
          <w:u w:val="none"/>
          <w:vertAlign w:val="baseline"/>
          <w:rtl w:val="0"/>
        </w:rPr>
        <w:t xml:space="preserve"> </w:t>
      </w: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is mutual education among students, faculty and staff; it is intended to  address topics related to inequality and systems of oppression, as well as social justice and  liberation. The broad learning objectives of </w:t>
      </w:r>
      <w:r w:rsidDel="00000000" w:rsidR="00000000" w:rsidRPr="00000000">
        <w:rPr>
          <w:rFonts w:ascii="Arial" w:cs="Arial" w:eastAsia="Arial" w:hAnsi="Arial"/>
          <w:b w:val="0"/>
          <w:i w:val="1"/>
          <w:smallCaps w:val="0"/>
          <w:strike w:val="0"/>
          <w:color w:val="232323"/>
          <w:sz w:val="22.079999923706055"/>
          <w:szCs w:val="22.079999923706055"/>
          <w:highlight w:val="white"/>
          <w:u w:val="none"/>
          <w:vertAlign w:val="baseline"/>
          <w:rtl w:val="0"/>
        </w:rPr>
        <w:t xml:space="preserve">Teach-In </w:t>
      </w: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are to raise awareness, inform, create  </w:t>
      </w:r>
      <w:r w:rsidDel="00000000" w:rsidR="00000000" w:rsidRPr="00000000">
        <w:rPr>
          <w:rFonts w:ascii="Arial" w:cs="Arial" w:eastAsia="Arial" w:hAnsi="Arial"/>
          <w:b w:val="0"/>
          <w:i w:val="0"/>
          <w:smallCaps w:val="0"/>
          <w:strike w:val="0"/>
          <w:color w:val="232323"/>
          <w:sz w:val="22.079999923706055"/>
          <w:szCs w:val="22.079999923706055"/>
          <w:u w:val="none"/>
          <w:shd w:fill="auto" w:val="clear"/>
          <w:vertAlign w:val="baseline"/>
          <w:rtl w:val="0"/>
        </w:rPr>
        <w:t xml:space="preserve">dialogue, and motivate action.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109375" w:line="229.25584316253662" w:lineRule="auto"/>
        <w:ind w:left="3.5711669921875" w:right="98.96728515625" w:firstLine="0"/>
        <w:jc w:val="left"/>
        <w:rPr>
          <w:rFonts w:ascii="Arial" w:cs="Arial" w:eastAsia="Arial" w:hAnsi="Arial"/>
          <w:b w:val="0"/>
          <w:i w:val="0"/>
          <w:smallCaps w:val="0"/>
          <w:strike w:val="0"/>
          <w:color w:val="23232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The sessions are co-created and facilitated by students, faculty and staff. The insights provided  have important implications for how we engage with inclusion and equity at GVSU, especially  those sessions focused on campus realities. We desire to grow campus involvement for this  meaningful professional development and learning event, which is offered free of charge to all  </w:t>
      </w:r>
      <w:r w:rsidDel="00000000" w:rsidR="00000000" w:rsidRPr="00000000">
        <w:rPr>
          <w:rFonts w:ascii="Arial" w:cs="Arial" w:eastAsia="Arial" w:hAnsi="Arial"/>
          <w:b w:val="0"/>
          <w:i w:val="0"/>
          <w:smallCaps w:val="0"/>
          <w:strike w:val="0"/>
          <w:color w:val="232323"/>
          <w:sz w:val="22.079999923706055"/>
          <w:szCs w:val="22.079999923706055"/>
          <w:u w:val="none"/>
          <w:shd w:fill="auto" w:val="clear"/>
          <w:vertAlign w:val="baseline"/>
          <w:rtl w:val="0"/>
        </w:rPr>
        <w:t xml:space="preserve">members of the GVSU community.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8154296875" w:line="229.25584316253662" w:lineRule="auto"/>
        <w:ind w:left="3.5711669921875" w:right="303.662109375" w:firstLine="8.611297607421875"/>
        <w:jc w:val="left"/>
        <w:rPr>
          <w:rFonts w:ascii="Arial" w:cs="Arial" w:eastAsia="Arial" w:hAnsi="Arial"/>
          <w:b w:val="0"/>
          <w:i w:val="0"/>
          <w:smallCaps w:val="0"/>
          <w:strike w:val="0"/>
          <w:color w:val="232323"/>
          <w:sz w:val="22.079999923706055"/>
          <w:szCs w:val="22.079999923706055"/>
          <w:highlight w:val="white"/>
          <w:u w:val="none"/>
          <w:vertAlign w:val="baseline"/>
        </w:rPr>
      </w:pP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GVSU’s </w:t>
      </w:r>
      <w:r w:rsidDel="00000000" w:rsidR="00000000" w:rsidRPr="00000000">
        <w:rPr>
          <w:rFonts w:ascii="Arial" w:cs="Arial" w:eastAsia="Arial" w:hAnsi="Arial"/>
          <w:b w:val="0"/>
          <w:i w:val="1"/>
          <w:smallCaps w:val="0"/>
          <w:strike w:val="0"/>
          <w:color w:val="232323"/>
          <w:sz w:val="22.079999923706055"/>
          <w:szCs w:val="22.079999923706055"/>
          <w:highlight w:val="white"/>
          <w:u w:val="none"/>
          <w:vertAlign w:val="baseline"/>
          <w:rtl w:val="0"/>
        </w:rPr>
        <w:t xml:space="preserve">Teach-In </w:t>
      </w:r>
      <w:r w:rsidDel="00000000" w:rsidR="00000000" w:rsidRPr="00000000">
        <w:rPr>
          <w:rFonts w:ascii="Arial" w:cs="Arial" w:eastAsia="Arial" w:hAnsi="Arial"/>
          <w:b w:val="0"/>
          <w:i w:val="0"/>
          <w:smallCaps w:val="0"/>
          <w:strike w:val="0"/>
          <w:color w:val="232323"/>
          <w:sz w:val="22.079999923706055"/>
          <w:szCs w:val="22.079999923706055"/>
          <w:highlight w:val="white"/>
          <w:u w:val="none"/>
          <w:vertAlign w:val="baseline"/>
          <w:rtl w:val="0"/>
        </w:rPr>
        <w:t xml:space="preserve">is a collaborative event with annual commitments from both University  Academic Senate and Student Senate, as well as the Inclusion and Equity Institute. Financial  sponsors include the Divisions of Academic Affairs (Office of the Provost), Enrollment  Development and Educational Outreach (EDEO), People, Equity, and Culture (PEC), and  Student Affairs.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112060546875" w:line="240" w:lineRule="auto"/>
        <w:ind w:left="10.1953125" w:right="0" w:firstLine="0"/>
        <w:jc w:val="left"/>
        <w:rPr>
          <w:rFonts w:ascii="Arial" w:cs="Arial" w:eastAsia="Arial" w:hAnsi="Arial"/>
          <w:b w:val="1"/>
          <w:i w:val="0"/>
          <w:smallCaps w:val="0"/>
          <w:strike w:val="0"/>
          <w:color w:val="674ea7"/>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674ea7"/>
          <w:sz w:val="22.079999923706055"/>
          <w:szCs w:val="22.079999923706055"/>
          <w:u w:val="single"/>
          <w:shd w:fill="auto" w:val="clear"/>
          <w:vertAlign w:val="baseline"/>
          <w:rtl w:val="0"/>
        </w:rPr>
        <w:t xml:space="preserve">Overview (details on following pages)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55126953125" w:line="240" w:lineRule="auto"/>
        <w:ind w:left="384.9888610839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9923706055"/>
          <w:szCs w:val="22.079999923706055"/>
          <w:u w:val="none"/>
          <w:shd w:fill="auto" w:val="clear"/>
          <w:vertAlign w:val="baseline"/>
          <w:rtl w:val="0"/>
        </w:rPr>
        <w:t xml:space="preserve">⮚ Held November 13 (Pew) – November 14 (Allendale)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57.50545501708984" w:lineRule="auto"/>
        <w:ind w:left="384.9888610839844" w:right="488.413085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9923706055"/>
          <w:szCs w:val="22.079999923706055"/>
          <w:u w:val="none"/>
          <w:shd w:fill="auto" w:val="clear"/>
          <w:vertAlign w:val="baseline"/>
          <w:rtl w:val="0"/>
        </w:rPr>
        <w:t xml:space="preserve">⮚ Opening &amp; closing plenary sessions (featured keynote &amp; student panel, respectively) ⮚ 40 contributed sessions (29 in-person, 11 hyflex), plus plenaries and reading room  ⮚ Almost 1300 attendees (at least 944 in-person and 330 online)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138671875" w:line="256.4190101623535" w:lineRule="auto"/>
        <w:ind w:left="384.9888610839844" w:right="70.81420898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9923706055"/>
          <w:szCs w:val="22.079999923706055"/>
          <w:u w:val="none"/>
          <w:shd w:fill="auto" w:val="clear"/>
          <w:vertAlign w:val="baseline"/>
          <w:rtl w:val="0"/>
        </w:rPr>
        <w:t xml:space="preserve">⮚ Around 135 presenters (at least 53 students, 50 faculty, 19 staff, 13 community partners) ⮚ 32 people hosted sessions (12 faculty, 20 staff)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073974609375" w:line="240" w:lineRule="auto"/>
        <w:ind w:left="384.9888610839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9923706055"/>
          <w:szCs w:val="22.079999923706055"/>
          <w:u w:val="none"/>
          <w:shd w:fill="auto" w:val="clear"/>
          <w:vertAlign w:val="baseline"/>
          <w:rtl w:val="0"/>
        </w:rPr>
        <w:t xml:space="preserve">⮚ There were three significant changes to previous years: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2664794922" w:lineRule="auto"/>
        <w:ind w:left="1447.244873046875" w:right="317.725830078125" w:hanging="351.1682128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Teach-In Planning Committee (TIPC) implemented three subcommittees (programming, marketing, hospitality) to good effect. Additional details of each  subcommittee’s work appear in the pages that follow, and the subcommittee  structure will be maintained going forward.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34375" w:line="228.16968441009521" w:lineRule="auto"/>
        <w:ind w:left="1096.07666015625" w:right="88.29589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first time, an option to present via a poster was offered as a lower-barrier  presentation method and to accommodate asynchronous involvement. This  initiative was supported by the Office for Undergraduate Research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8.69481086730957" w:lineRule="auto"/>
        <w:ind w:left="1096.07666015625" w:right="282.1960449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Scholarship (OURS); although few posters were received, the TIPC steering  team and OURS have agreed to offer posters again at least one more year.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budget increased due to expanded programming and marketing, including  speaker/panelist stipends, printing, and videography, but it was still less than  $10,000 for this highly impactful event. (Details are available upon request.)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60894775390625" w:right="0" w:firstLine="0"/>
        <w:jc w:val="left"/>
        <w:rPr>
          <w:rFonts w:ascii="Arial" w:cs="Arial" w:eastAsia="Arial" w:hAnsi="Arial"/>
          <w:b w:val="1"/>
          <w:i w:val="0"/>
          <w:smallCaps w:val="0"/>
          <w:strike w:val="0"/>
          <w:color w:val="674ea7"/>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674ea7"/>
          <w:sz w:val="22.079999923706055"/>
          <w:szCs w:val="22.079999923706055"/>
          <w:u w:val="single"/>
          <w:shd w:fill="auto" w:val="clear"/>
          <w:vertAlign w:val="baseline"/>
          <w:rtl w:val="0"/>
        </w:rPr>
        <w:t xml:space="preserve">Detailed Information </w:t>
      </w:r>
      <w:r w:rsidDel="00000000" w:rsidR="00000000" w:rsidRPr="00000000">
        <w:rPr>
          <w:rFonts w:ascii="Arial" w:cs="Arial" w:eastAsia="Arial" w:hAnsi="Arial"/>
          <w:b w:val="1"/>
          <w:i w:val="0"/>
          <w:smallCaps w:val="0"/>
          <w:strike w:val="0"/>
          <w:color w:val="674ea7"/>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5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Overall logistics</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099609375"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Two-day event (as since 2017)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November 13: Pew - SCB Forum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November 14: Allendale - KC (various rooms)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096.07666015625" w:right="199.449462890625" w:hanging="716.387023925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TIPC members (asterisks indicates steering team, including subcommittee leads)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Faculty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Chasity Bailey-Fakhoury, Genevieve Elrod, Stephen Dorland, Karen  Gipson* (TIPC lead), Laila McCloud* (programming lead), Michael Scantlebury,  Jennifer Stewart, Anna White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677734375" w:line="230.34253120422363" w:lineRule="auto"/>
        <w:ind w:left="1458.284912109375" w:right="466.9580078125" w:hanging="362.20825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EAP</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Alisha Davis, Kate Harmon, Marlene Kowalski-Braun* (hospitality lead), Dwayne Tunstall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PSS: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Ashley Jefferson*, Lisa Surman*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Students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Abdul Ciise, Anna Obi, Madison Stewart, Genna Wright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AP</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Mara Spears* (marketing lead), Keigh-Cee Bell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Supporting entities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Official sponsors: UAS, Student Senate, I &amp; E Institute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Financial support: Provost’s Office, Student Affairs, PEC, EDEO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Poster session supported by OURS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Hyflex modality (as since 2021)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least 1274 attendees: 944 in-person and 330 online.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284450531006" w:lineRule="auto"/>
        <w:ind w:left="379.68963623046875" w:right="282.1569824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In-person attendance was higher than recent years; online attendance per  session was on par with recent years, though there were less hyflex sessions.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TIPC structure: subcommittees were implemented for the first time this year.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Programming/proposal review</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responsible for Teach-In content, including  planning the special sessions and reviewing proposals. Most faculty members,  including members of Equity and Inclusion Committee (EIC), served here.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Marketing/communications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responsible for promoting the event, including  creation and distribution of promotional materials. The four student members  served on this subcommittee, along with both AP staff members.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0673828125" w:line="229.25570011138916" w:lineRule="auto"/>
        <w:ind w:left="1447.4658203125" w:right="170.552978515625" w:hanging="351.3891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Hospitality: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responsible for all aspects of hosting the event at both locations,  including signage, catering, and verifying room readiness. This team was led by  staff of the I &amp; E Institute, with support from various others.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7177734375" w:line="229.03873443603516" w:lineRule="auto"/>
        <w:ind w:left="1443.4912109375" w:right="65.875244140625" w:hanging="347.414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The full TIPC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met monthly March-July and biweekly August-November to  brainstorm ways to improve the event and ensure that diverse perspectives were  considered for any changes. Alongside those meetings, subcommittee members  worked per requests from each subcommittee lead, who also served on the  steering team. The TIPC lead assembled the TIPC, convened TIPC meetings &amp;  debriefing sessions, and provided support to each subcommittee.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0107421875" w:line="240" w:lineRule="auto"/>
        <w:ind w:left="17.260894775390625"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single"/>
          <w:shd w:fill="auto" w:val="clear"/>
          <w:vertAlign w:val="baseline"/>
          <w:rtl w:val="0"/>
        </w:rPr>
        <w:t xml:space="preserve">Notes on overall logistics: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2664794922" w:lineRule="auto"/>
        <w:ind w:left="729.2318725585938" w:right="236.744384765625" w:hanging="349.54223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was again discussion of requesting base funding rather than various divisions  contributing funding; this was unresolved due to uncertainty of the appropriate office to  house this budget and the idea that the current practice may increase buy-in from  contributing entities.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55126953125" w:line="228.78011226654053" w:lineRule="auto"/>
        <w:ind w:left="379.68963623046875" w:right="187.13256835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new structure of TIPC was beneficial for distributing tasks, but some adjustments are desired in future, both to reduce workload and to ensure better coordination: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preserve diverse perspectives, TIPC will transition to an advisory role and  only meet monthly from July to October, while to ensure timely decisions, the  steering team will meet monthly March to August and weekly thereafter.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ensure better coordination between subcommittees, the steering team  meeting dates have already been established, and internal planning documents  have been consolidated to clarify timing of and responsibility for tasks.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60894775390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Programming subcommittee: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Special plenary sessions opened and closed the event.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455.1937866210938" w:right="490.574951171875" w:hanging="359.1171264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opening plenary session included a land acknowledgment and historical  reflection from the Native American Advisory Council (NAAC), as well as a keynote presentation by Dr. Charles H. F. Davis III.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31.4295768737793" w:lineRule="auto"/>
        <w:ind w:left="379.68963623046875" w:right="512.55859375" w:firstLine="716.387023925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closing plenary session included a student reflection panel, a real-time  reflection activity for all attendees, display of posters, and an open reception.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total of 40 contributed sessions were presented.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693359375"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Modality: 29 in-person sessions, 11 hyflex sessions.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453.2064819335938" w:right="931.2762451171875" w:hanging="357.1298217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least 135 people (53 students, 50 faculty, 19 staff, and 13 community  partners) were involved in presenting sessions.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Presentation teams represented all campus stakeholders: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32 sessions included faculty co-presenters.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26 sessions included student co-presenters.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13 sessions included staff co-presenters.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68.91479492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sessions included community members as co-presenters.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5154209136963" w:lineRule="auto"/>
        <w:ind w:left="1814.53125" w:right="171.988525390625" w:hanging="718.4545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Scheduled in informal tracks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each room was a different aspect of DEI-AB).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Facilitated schedulers’ noticing content gaps.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Avoided competition between sessions of similar topics.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More convenient for attendees not to change rooms.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096.07666015625" w:right="877.3577880859375" w:hanging="716.387023925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Banned Books reading room was open Weds 1-4pm and Thurs 8:30am-5:15pm.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84 students attended (in-person).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Many students stayed for 30-60 minutes reading and discussing.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60894775390625"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single"/>
          <w:shd w:fill="auto" w:val="clear"/>
          <w:vertAlign w:val="baseline"/>
          <w:rtl w:val="0"/>
        </w:rPr>
        <w:t xml:space="preserve">Notes on programming: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9415836334229" w:lineRule="auto"/>
        <w:ind w:left="379.68963623046875" w:right="37.113037109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Opening the Teach-In with a land acknowledgement and history from NAAC is essential.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year’s plenary keynote was an impactful aspect of the opening plenary, and current  plans are to retain a similarly compelling external speaker for future opening keynotes.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2024 closing plenary was hugely successful, in large part due to the programming  committee’s planning along with strong attendance by the Student Senate cabinet.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poster session was very small this first year, but OURS and the TIPC steering team  have agreed to offer posters again next year with more overt marketing efforts to  ascertain whether this is a useful option.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32568359375" w:line="228.16949844360352" w:lineRule="auto"/>
        <w:ind w:left="729.2318725585938" w:right="226.9287109375" w:hanging="349.5422363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Proposal review was greatly streamlined, with mixed results reported during TIPC post event debriefing sessions. In future, selected past practices will be resumed to better  balance expediency with careful review.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28.8939380645752" w:lineRule="auto"/>
        <w:ind w:left="727.2447204589844" w:right="145.556640625" w:hanging="347.55508422851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Scheduling in informal tracks has genuine benefits, but it’s important that the tracks  remain informal to encourage intersectional work. Inclusion of session codes in the  schedule to aid attendees’ understanding session content (intersectional sections could  include multiple codes) is under consideration.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4482421875" w:line="229.07512664794922" w:lineRule="auto"/>
        <w:ind w:left="723.4910583496094" w:right="69.57397460937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“Banned Books Reading and Chat” session was very well-attended in Allendale,  with 79 participants, most of whom stayed at least 30 minutes and many of whom stayed an hour or more for reading and discussion. However, it was sparsely attended on Pew  campus (4 participants). In future, this session will only be offered in Allendale.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724609375" w:line="229.25618648529053" w:lineRule="auto"/>
        <w:ind w:left="723.4910583496094" w:right="61.54907226562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expanded Save the Date (STD) and Call for Proposals (CFP) window was helpful in  soliciting proposals earlier. The proposal submission form for Fall 2025 is already open on the Teach-In website, and - as was done this year - the STD/CFP will be sent in April  to begin collecting proposals over the summer. It will be essential to repeat the CFP in  early Fall 2025 to include incoming students, staff, and faculty.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1517944335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Marketing subcommittee</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Email communications (facilitated by TIPC Lead)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096.07666015625" w:right="416.907958984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TIPC Lead sent the 2024 dates to SLT members and academic deans in  January, and the UAS chair sent the STD/CFP to all faculty/staff in April.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669921875" w:line="229.2566156387329" w:lineRule="auto"/>
        <w:ind w:left="1096.07666015625" w:right="15.42602539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CFP was sent again to all faculty &amp; staff in early August, after which the UAS  email was forwarded to prior presenters and specific faculty with expertise in  DEI-AB topics, along with a personal message encouraging participation.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30.34253120422363" w:lineRule="auto"/>
        <w:ind w:left="1451.2191772460938" w:right="649.0985107421875" w:hanging="355.142517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STD/CFP was sent to all students by the Student Senate President on  September 24.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32.51549243927002" w:lineRule="auto"/>
        <w:ind w:left="379.68963623046875" w:right="550.958251953125" w:firstLine="716.387023925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VP of PEC sent a reminder email to all faculty and staff on November 7.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Website updates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37890625" w:line="229.2560577392578" w:lineRule="auto"/>
        <w:ind w:left="1449.232177734375" w:right="259.161376953125" w:hanging="353.155517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website was updated with the new branding and restructured to create a more visually appealing homepage, alongside a separate page about historical  context and a FAQ page.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201171875" w:line="230.34364700317383" w:lineRule="auto"/>
        <w:ind w:left="1096.07666015625" w:right="1003.6755371093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was noted that existing video content was outdated, so the marketing  subcommittee arranged for photography/videography in Fall 2024.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25390625"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media campaign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449.01123046875" w:right="576.88720703125" w:hanging="352.9345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series of posts were made on GVSU’s Teach-In social media platforms in  October and November leading up to the event.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32.5154209136963" w:lineRule="auto"/>
        <w:ind w:left="379.68963623046875" w:right="231.759033203125" w:firstLine="716.387023925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Student Senate posted live Instagram coverage of the event, tagging Teach-In.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Additional promotional efforts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158203125" w:line="229.25597190856934" w:lineRule="auto"/>
        <w:ind w:left="1443.4912109375" w:right="127.83203125" w:hanging="352.73284912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new marketing Task List was created and used alongside the previous  Targeted Outreach Plan to keep track of efforts by the marketing team as well as individual TIPC members. (This will be better coordinated in future.)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29.25597190856934" w:lineRule="auto"/>
        <w:ind w:left="1454.752197265625" w:right="526.9580078125" w:hanging="363.99383544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Announcements tailored to different audiences were posted in various  newsletters, most notably Academic Affairs (Lakers Ready), Student Affairs,  PEC, and Human Resources.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30.7049798965454" w:lineRule="auto"/>
        <w:ind w:left="1449.232177734375" w:right="222.3974609375" w:hanging="358.47381591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Slides to display on Laker Hub (screens in KC, MIP, SCB, etc.) were created to  encourage both proposal submission and attendance.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197265625" w:line="229.25597190856934" w:lineRule="auto"/>
        <w:ind w:left="1090.7583618164062" w:right="394.37744140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Teach-In was submitted to Events Calendar and for INT 100/201 approval.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Student Senate did tabling in KC on two dates to solicit proposal submissions  and to encourage attendance.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40" w:lineRule="auto"/>
        <w:ind w:left="1090.758361816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article in GVNext ran the week before the event.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090.7583618164062" w:right="63.56811523437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Yard signs, banners, and flyers were created and displayed at strategic locations.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Updated video footage with interviews was created for future promotional efforts.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Stickers were created as giveaways.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40" w:lineRule="auto"/>
        <w:ind w:left="17.260894775390625"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single"/>
          <w:shd w:fill="auto" w:val="clear"/>
          <w:vertAlign w:val="baseline"/>
          <w:rtl w:val="0"/>
        </w:rPr>
        <w:t xml:space="preserve">Notes on marketing</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68441009521" w:lineRule="auto"/>
        <w:ind w:left="723.4910583496094" w:right="219.65209960937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Teach-In dates should be sent to SLT and deans as soon as they’re set (prior Winter  semester) to get on calendars and avoid conflicting meetings being scheduled; suggest these dates be designated as “no meetings” days to encourage attendance.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58349609375" w:line="228.44128131866455" w:lineRule="auto"/>
        <w:ind w:left="723.4910583496094" w:right="122.812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changes in university-wide email practices, difficulties were encountered sending the CFP to students this year. The proposal submission date was consequently  extended to allow more time for student involvement; this should be addressed in future.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7421875" w:line="228.16968441009521" w:lineRule="auto"/>
        <w:ind w:left="723.4910583496094" w:right="156.5893554687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Additional ways to solicit proposals and encourage attendance will be explored, such as targeted outreach to faculty teaching first-year courses and various campus offices, especially dean’s offices and other offices with student employees.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2783203125" w:line="228.6946964263916" w:lineRule="auto"/>
        <w:ind w:left="723.4910583496094" w:right="415.123291015625"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Additional outreach efforts will be explored, such as increased outreach by TIPC  members to constituencies, requesting announcements at college start-up meetings,  working with college DEI committees (possibly creating personal equity networks), retaining GrandGR (GVSU’s PRSSA Student Organization) to create a social media campaign, hiring student ambassadors, incentives programs, etc.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56768798828125" w:right="0" w:firstLine="0"/>
        <w:jc w:val="left"/>
        <w:rPr>
          <w:rFonts w:ascii="Arial" w:cs="Arial" w:eastAsia="Arial" w:hAnsi="Arial"/>
          <w:b w:val="1"/>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single"/>
          <w:shd w:fill="auto" w:val="clear"/>
          <w:vertAlign w:val="baseline"/>
          <w:rtl w:val="0"/>
        </w:rPr>
        <w:t xml:space="preserve">Hospitality subcommittee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Facilities arrangements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448.1280517578125" w:right="3.795166015625" w:hanging="352.051391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Rooms were reserved in KC and SCB in early January to ensure adequate space  on two consecutive days in mid-November.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26953125" w:line="228.16956996917725" w:lineRule="auto"/>
        <w:ind w:left="2168.3489990234375" w:right="222.156982421875" w:hanging="353.817749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Specific details for room setup were specified a few months in advance,  as were easels for displaying necessary signage.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28.17068576812744" w:lineRule="auto"/>
        <w:ind w:left="1457.1807861328125" w:right="381.839599609375" w:hanging="361.10412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Catering orders included the opening plenary at SCB, the closing reception at  KC, and water/coffee service throughout both days.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966796875" w:line="240" w:lineRule="auto"/>
        <w:ind w:left="379.68963623046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Recruit and coordination of volunteers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57795715332" w:lineRule="auto"/>
        <w:ind w:left="1096.07666015625" w:right="223.93798828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Student groups: The idea of recruiting student clubs to help with hosting was  explored, but logistics proved too challenging this first year of consideration.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However, student organizations, including Greek Life, helped promote  Teach-In to their memberships, and Tutoring Center student employees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173828125" w:line="240" w:lineRule="auto"/>
        <w:ind w:left="0" w:right="392.327880859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attended Campus Life Night to distribute pluggers promoting Teach-In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348999023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attendance.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096.07666015625" w:right="283.7463378906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Host/moderators: Outreach was made to UAS/EIC and various campus offices  for session hosts, resulting in 32 volunteers (20 staff and 12 faculty).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28.16949844360352" w:lineRule="auto"/>
        <w:ind w:left="1814.53125" w:right="223.612060546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Orientation sessions for host/moderators were held the week before the  event. Orientation materials were updated to include more specific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0.3424596786499" w:lineRule="auto"/>
        <w:ind w:left="2167.4658203125" w:right="176.083984375" w:firstLine="7.727966308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instructions for hybrid sessions and an updated Community Agreements  slide to be displayed at the start of each session.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30.3424596786499" w:lineRule="auto"/>
        <w:ind w:left="379.68963623046875" w:right="418.958740234375" w:firstLine="1434.84161376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Host packets were assembled for each of the 40 contributed sessions.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Day-of logistics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40" w:lineRule="auto"/>
        <w:ind w:left="1096.076660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variety of signage was created and displayed: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4892578125"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Wayfinding signs for each site (SCB, KC)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5262451171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Large session schedules for each day posted in prominent locations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6.1724853515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Large schedule for each room placed at entrance to each room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4.53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Master schedule at host check-in table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096.07666015625" w:right="210.15869140625" w:firstLine="718.4545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 recording” signs and QR codes to evaluations posted in each room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Rooms were visited to confirm readiness: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2783203125" w:line="230.3424596786499" w:lineRule="auto"/>
        <w:ind w:left="1814.53125" w:right="480.2783203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Table/chairs were set up as requested (if not, rearranged as possible)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AV (Community Agreements on computer, Owls for hyflex sessions)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32.51596450805664" w:lineRule="auto"/>
        <w:ind w:left="379.68963623046875" w:right="466.578369140625" w:firstLine="1434.84161376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GVSU Photography notices were posted in all Teach-In public spaces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Evaluations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9375" w:line="228.16949844360352" w:lineRule="auto"/>
        <w:ind w:left="17.260894775390625" w:right="567.752685546875" w:firstLine="1078.8157653808594"/>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Included in host packets and posted in rooms to maximize response rates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Hospitality subcommittee members entered responses to paper evaluations  </w:t>
      </w:r>
      <w:r w:rsidDel="00000000" w:rsidR="00000000" w:rsidRPr="00000000">
        <w:rPr>
          <w:rFonts w:ascii="Arial" w:cs="Arial" w:eastAsia="Arial" w:hAnsi="Arial"/>
          <w:b w:val="0"/>
          <w:i w:val="1"/>
          <w:smallCaps w:val="0"/>
          <w:strike w:val="0"/>
          <w:color w:val="000000"/>
          <w:sz w:val="22.079999923706055"/>
          <w:szCs w:val="22.079999923706055"/>
          <w:u w:val="single"/>
          <w:shd w:fill="auto" w:val="clear"/>
          <w:vertAlign w:val="baseline"/>
          <w:rtl w:val="0"/>
        </w:rPr>
        <w:t xml:space="preserve">Notes on hospitality</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02783203125" w:line="228.16981315612793" w:lineRule="auto"/>
        <w:ind w:left="723.4910583496094" w:right="0" w:hanging="343.80142211914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Setup at KC is complicated by the early hour (7am). Possible solutions include setting up  the night prior or requesting the building supervisor to provide contact information for  more timely resolution of issues.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28.44128131866455" w:lineRule="auto"/>
        <w:ind w:left="731.2191772460938" w:right="185.9619140625" w:hanging="351.5295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Hyflex modality is useful for appropriate sessions, but technology issues persist at both  SCB and KC. Possible solutions include more thorough orientation of session hosts or  hiring IT student employees.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0644531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subcommittee will continue to explore involving student organizations next year. </w:t>
      </w:r>
    </w:p>
    <w:sectPr>
      <w:pgSz w:h="15840" w:w="12240" w:orient="portrait"/>
      <w:pgMar w:bottom="1517.2799682617188" w:top="1009.7998046875" w:left="1440" w:right="1382.45971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Calibri"/>
  <w:font w:name="Fira Mon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