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46DDF" w:rsidRDefault="00F81D2F">
      <w:pPr>
        <w:jc w:val="center"/>
      </w:pPr>
      <w:bookmarkStart w:id="0" w:name="_GoBack"/>
      <w:bookmarkEnd w:id="0"/>
      <w:r>
        <w:rPr>
          <w:rFonts w:ascii="Times New Roman" w:eastAsia="Times New Roman" w:hAnsi="Times New Roman" w:cs="Times New Roman"/>
          <w:b/>
        </w:rPr>
        <w:t>Online Resources for Informative Explanatory Text</w:t>
      </w:r>
    </w:p>
    <w:p w:rsidR="00B46DDF" w:rsidRDefault="00F81D2F">
      <w:pPr>
        <w:jc w:val="center"/>
      </w:pPr>
      <w:r>
        <w:rPr>
          <w:rFonts w:ascii="Times New Roman" w:eastAsia="Times New Roman" w:hAnsi="Times New Roman" w:cs="Times New Roman"/>
          <w:b/>
        </w:rPr>
        <w:t>Effective, Engaging Methods for Writing in Science</w:t>
      </w:r>
    </w:p>
    <w:p w:rsidR="00B46DDF" w:rsidRDefault="00F81D2F">
      <w:pPr>
        <w:jc w:val="center"/>
      </w:pPr>
      <w:r>
        <w:rPr>
          <w:rFonts w:ascii="Times New Roman" w:eastAsia="Times New Roman" w:hAnsi="Times New Roman" w:cs="Times New Roman"/>
          <w:b/>
        </w:rPr>
        <w:t>November 5, 2014</w:t>
      </w:r>
    </w:p>
    <w:p w:rsidR="00B46DDF" w:rsidRDefault="00B46DDF"/>
    <w:p w:rsidR="00B46DDF" w:rsidRDefault="00F81D2F">
      <w:r>
        <w:rPr>
          <w:rFonts w:ascii="Times New Roman" w:eastAsia="Times New Roman" w:hAnsi="Times New Roman" w:cs="Times New Roman"/>
        </w:rPr>
        <w:t>At our last session, participants were asking for good online resources for text material for their students to interact with.  During this part of the day, we would like to give you time to do some searching for resources to use in your classroom.  As you find helpful sites, please add them to the list below so we can all share what we have found.</w:t>
      </w:r>
    </w:p>
    <w:p w:rsidR="00B46DDF" w:rsidRDefault="00B46DDF"/>
    <w:p w:rsidR="00B46DDF" w:rsidRDefault="00B46DDF"/>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3825"/>
        <w:gridCol w:w="6765"/>
      </w:tblGrid>
      <w:tr w:rsidR="00B46DDF">
        <w:tc>
          <w:tcPr>
            <w:tcW w:w="2370" w:type="dxa"/>
            <w:shd w:val="clear" w:color="auto" w:fill="A2C4C9"/>
            <w:tcMar>
              <w:top w:w="100" w:type="dxa"/>
              <w:left w:w="100" w:type="dxa"/>
              <w:bottom w:w="100" w:type="dxa"/>
              <w:right w:w="100" w:type="dxa"/>
            </w:tcMar>
          </w:tcPr>
          <w:p w:rsidR="00B46DDF" w:rsidRDefault="00F81D2F">
            <w:pPr>
              <w:widowControl w:val="0"/>
              <w:spacing w:line="240" w:lineRule="auto"/>
              <w:jc w:val="center"/>
            </w:pPr>
            <w:r>
              <w:rPr>
                <w:rFonts w:ascii="Times New Roman" w:eastAsia="Times New Roman" w:hAnsi="Times New Roman" w:cs="Times New Roman"/>
                <w:b/>
              </w:rPr>
              <w:t>Content Area</w:t>
            </w:r>
          </w:p>
        </w:tc>
        <w:tc>
          <w:tcPr>
            <w:tcW w:w="3825" w:type="dxa"/>
            <w:shd w:val="clear" w:color="auto" w:fill="A2C4C9"/>
            <w:tcMar>
              <w:top w:w="100" w:type="dxa"/>
              <w:left w:w="100" w:type="dxa"/>
              <w:bottom w:w="100" w:type="dxa"/>
              <w:right w:w="100" w:type="dxa"/>
            </w:tcMar>
          </w:tcPr>
          <w:p w:rsidR="00B46DDF" w:rsidRDefault="00F81D2F">
            <w:pPr>
              <w:widowControl w:val="0"/>
              <w:spacing w:line="240" w:lineRule="auto"/>
              <w:jc w:val="center"/>
            </w:pPr>
            <w:r>
              <w:rPr>
                <w:rFonts w:ascii="Times New Roman" w:eastAsia="Times New Roman" w:hAnsi="Times New Roman" w:cs="Times New Roman"/>
                <w:b/>
              </w:rPr>
              <w:t>Name &amp; Link</w:t>
            </w:r>
          </w:p>
        </w:tc>
        <w:tc>
          <w:tcPr>
            <w:tcW w:w="6765" w:type="dxa"/>
            <w:shd w:val="clear" w:color="auto" w:fill="A2C4C9"/>
            <w:tcMar>
              <w:top w:w="100" w:type="dxa"/>
              <w:left w:w="100" w:type="dxa"/>
              <w:bottom w:w="100" w:type="dxa"/>
              <w:right w:w="100" w:type="dxa"/>
            </w:tcMar>
          </w:tcPr>
          <w:p w:rsidR="00B46DDF" w:rsidRDefault="00F81D2F">
            <w:pPr>
              <w:widowControl w:val="0"/>
              <w:spacing w:line="240" w:lineRule="auto"/>
              <w:jc w:val="center"/>
            </w:pPr>
            <w:r>
              <w:rPr>
                <w:rFonts w:ascii="Times New Roman" w:eastAsia="Times New Roman" w:hAnsi="Times New Roman" w:cs="Times New Roman"/>
                <w:b/>
              </w:rPr>
              <w:t>Comments</w:t>
            </w:r>
          </w:p>
        </w:tc>
      </w:tr>
      <w:tr w:rsidR="00B46DDF">
        <w:tc>
          <w:tcPr>
            <w:tcW w:w="2370"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 xml:space="preserve">General </w:t>
            </w:r>
          </w:p>
        </w:tc>
        <w:tc>
          <w:tcPr>
            <w:tcW w:w="3825"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 xml:space="preserve">Google Scholar / </w:t>
            </w:r>
            <w:hyperlink r:id="rId4">
              <w:r>
                <w:rPr>
                  <w:rFonts w:ascii="Times New Roman" w:eastAsia="Times New Roman" w:hAnsi="Times New Roman" w:cs="Times New Roman"/>
                  <w:color w:val="1155CC"/>
                  <w:u w:val="single"/>
                </w:rPr>
                <w:t>scholar.google.com/</w:t>
              </w:r>
            </w:hyperlink>
          </w:p>
          <w:p w:rsidR="00B46DDF" w:rsidRDefault="00B46DDF">
            <w:pPr>
              <w:widowControl w:val="0"/>
              <w:spacing w:line="240" w:lineRule="auto"/>
            </w:pPr>
          </w:p>
        </w:tc>
        <w:tc>
          <w:tcPr>
            <w:tcW w:w="6765" w:type="dxa"/>
            <w:tcMar>
              <w:top w:w="100" w:type="dxa"/>
              <w:left w:w="100" w:type="dxa"/>
              <w:bottom w:w="100" w:type="dxa"/>
              <w:right w:w="100" w:type="dxa"/>
            </w:tcMar>
          </w:tcPr>
          <w:p w:rsidR="00B46DDF" w:rsidRDefault="00F81D2F">
            <w:pPr>
              <w:widowControl w:val="0"/>
              <w:spacing w:line="240" w:lineRule="auto"/>
            </w:pPr>
            <w:r>
              <w:rPr>
                <w:rFonts w:ascii="Calibri" w:eastAsia="Calibri" w:hAnsi="Calibri" w:cs="Calibri"/>
              </w:rPr>
              <w:t>Google Scholar is a freely accessible</w:t>
            </w:r>
            <w:hyperlink r:id="rId5">
              <w:r>
                <w:rPr>
                  <w:rFonts w:ascii="Calibri" w:eastAsia="Calibri" w:hAnsi="Calibri" w:cs="Calibri"/>
                </w:rPr>
                <w:t xml:space="preserve"> </w:t>
              </w:r>
            </w:hyperlink>
            <w:hyperlink r:id="rId6">
              <w:r>
                <w:rPr>
                  <w:rFonts w:ascii="Calibri" w:eastAsia="Calibri" w:hAnsi="Calibri" w:cs="Calibri"/>
                  <w:color w:val="1155CC"/>
                </w:rPr>
                <w:t>web search engine</w:t>
              </w:r>
            </w:hyperlink>
            <w:r>
              <w:rPr>
                <w:rFonts w:ascii="Calibri" w:eastAsia="Calibri" w:hAnsi="Calibri" w:cs="Calibri"/>
              </w:rPr>
              <w:t xml:space="preserve"> that indexes the full text of</w:t>
            </w:r>
            <w:hyperlink r:id="rId7">
              <w:r>
                <w:rPr>
                  <w:rFonts w:ascii="Calibri" w:eastAsia="Calibri" w:hAnsi="Calibri" w:cs="Calibri"/>
                </w:rPr>
                <w:t xml:space="preserve"> </w:t>
              </w:r>
            </w:hyperlink>
            <w:hyperlink r:id="rId8">
              <w:r>
                <w:rPr>
                  <w:rFonts w:ascii="Calibri" w:eastAsia="Calibri" w:hAnsi="Calibri" w:cs="Calibri"/>
                  <w:color w:val="1155CC"/>
                </w:rPr>
                <w:t>scholarly literature</w:t>
              </w:r>
            </w:hyperlink>
            <w:r>
              <w:rPr>
                <w:rFonts w:ascii="Calibri" w:eastAsia="Calibri" w:hAnsi="Calibri" w:cs="Calibri"/>
              </w:rPr>
              <w:t xml:space="preserve"> across an array of publishing formats and disciplines. Released in</w:t>
            </w:r>
            <w:hyperlink r:id="rId9">
              <w:r>
                <w:rPr>
                  <w:rFonts w:ascii="Calibri" w:eastAsia="Calibri" w:hAnsi="Calibri" w:cs="Calibri"/>
                </w:rPr>
                <w:t xml:space="preserve"> </w:t>
              </w:r>
            </w:hyperlink>
            <w:hyperlink r:id="rId10">
              <w:r>
                <w:rPr>
                  <w:rFonts w:ascii="Calibri" w:eastAsia="Calibri" w:hAnsi="Calibri" w:cs="Calibri"/>
                  <w:color w:val="1155CC"/>
                </w:rPr>
                <w:t>beta</w:t>
              </w:r>
            </w:hyperlink>
            <w:r>
              <w:rPr>
                <w:rFonts w:ascii="Calibri" w:eastAsia="Calibri" w:hAnsi="Calibri" w:cs="Calibri"/>
              </w:rPr>
              <w:t xml:space="preserve"> in November 2004, the Google Scholar index includes most</w:t>
            </w:r>
            <w:hyperlink r:id="rId11">
              <w:r>
                <w:rPr>
                  <w:rFonts w:ascii="Calibri" w:eastAsia="Calibri" w:hAnsi="Calibri" w:cs="Calibri"/>
                </w:rPr>
                <w:t xml:space="preserve"> </w:t>
              </w:r>
            </w:hyperlink>
            <w:hyperlink r:id="rId12">
              <w:r>
                <w:rPr>
                  <w:rFonts w:ascii="Calibri" w:eastAsia="Calibri" w:hAnsi="Calibri" w:cs="Calibri"/>
                  <w:color w:val="1155CC"/>
                </w:rPr>
                <w:t>peer-reviewed</w:t>
              </w:r>
            </w:hyperlink>
            <w:r>
              <w:rPr>
                <w:rFonts w:ascii="Calibri" w:eastAsia="Calibri" w:hAnsi="Calibri" w:cs="Calibri"/>
              </w:rPr>
              <w:t xml:space="preserve"> online</w:t>
            </w:r>
            <w:hyperlink r:id="rId13">
              <w:r>
                <w:rPr>
                  <w:rFonts w:ascii="Calibri" w:eastAsia="Calibri" w:hAnsi="Calibri" w:cs="Calibri"/>
                </w:rPr>
                <w:t xml:space="preserve"> </w:t>
              </w:r>
            </w:hyperlink>
            <w:hyperlink r:id="rId14">
              <w:r>
                <w:rPr>
                  <w:rFonts w:ascii="Calibri" w:eastAsia="Calibri" w:hAnsi="Calibri" w:cs="Calibri"/>
                  <w:color w:val="1155CC"/>
                </w:rPr>
                <w:t>journals</w:t>
              </w:r>
            </w:hyperlink>
            <w:r>
              <w:rPr>
                <w:rFonts w:ascii="Calibri" w:eastAsia="Calibri" w:hAnsi="Calibri" w:cs="Calibri"/>
              </w:rPr>
              <w:t xml:space="preserve"> of Europe and America's largest scholarly publications, plus scholarly books and other non-peer reviewed journals. While</w:t>
            </w:r>
            <w:hyperlink r:id="rId15">
              <w:r>
                <w:rPr>
                  <w:rFonts w:ascii="Calibri" w:eastAsia="Calibri" w:hAnsi="Calibri" w:cs="Calibri"/>
                </w:rPr>
                <w:t xml:space="preserve"> </w:t>
              </w:r>
            </w:hyperlink>
            <w:hyperlink r:id="rId16">
              <w:r>
                <w:rPr>
                  <w:rFonts w:ascii="Calibri" w:eastAsia="Calibri" w:hAnsi="Calibri" w:cs="Calibri"/>
                  <w:color w:val="1155CC"/>
                </w:rPr>
                <w:t>Google</w:t>
              </w:r>
            </w:hyperlink>
            <w:r>
              <w:rPr>
                <w:rFonts w:ascii="Calibri" w:eastAsia="Calibri" w:hAnsi="Calibri" w:cs="Calibri"/>
              </w:rPr>
              <w:t xml:space="preserve"> does not publish the size of Google Scholar's database, third-party researchers estimated it to contain roughly 160 million documents as of May 2014. </w:t>
            </w:r>
          </w:p>
        </w:tc>
      </w:tr>
      <w:tr w:rsidR="00B46DDF">
        <w:tc>
          <w:tcPr>
            <w:tcW w:w="2370"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General</w:t>
            </w:r>
          </w:p>
        </w:tc>
        <w:tc>
          <w:tcPr>
            <w:tcW w:w="3825"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 xml:space="preserve">PBS Learning Media / </w:t>
            </w:r>
            <w:hyperlink r:id="rId17">
              <w:r>
                <w:rPr>
                  <w:rFonts w:ascii="Times New Roman" w:eastAsia="Times New Roman" w:hAnsi="Times New Roman" w:cs="Times New Roman"/>
                  <w:color w:val="1155CC"/>
                  <w:u w:val="single"/>
                </w:rPr>
                <w:t>http://www.pbslearningmedia.org/</w:t>
              </w:r>
            </w:hyperlink>
            <w:r>
              <w:rPr>
                <w:rFonts w:ascii="Times New Roman" w:eastAsia="Times New Roman" w:hAnsi="Times New Roman" w:cs="Times New Roman"/>
              </w:rPr>
              <w:t xml:space="preserve"> </w:t>
            </w:r>
          </w:p>
        </w:tc>
        <w:tc>
          <w:tcPr>
            <w:tcW w:w="6765"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Resource types include video, interactive, image, document, lesson plans, audio, media gallery and self-paced lessons</w:t>
            </w:r>
          </w:p>
        </w:tc>
      </w:tr>
      <w:tr w:rsidR="00B46DDF">
        <w:tc>
          <w:tcPr>
            <w:tcW w:w="2370"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General / Science</w:t>
            </w:r>
          </w:p>
        </w:tc>
        <w:tc>
          <w:tcPr>
            <w:tcW w:w="3825"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 xml:space="preserve">NEWSELA / </w:t>
            </w:r>
            <w:hyperlink r:id="rId18">
              <w:r>
                <w:rPr>
                  <w:rFonts w:ascii="Times New Roman" w:eastAsia="Times New Roman" w:hAnsi="Times New Roman" w:cs="Times New Roman"/>
                  <w:color w:val="1155CC"/>
                  <w:u w:val="single"/>
                </w:rPr>
                <w:t>https://newsela.com/</w:t>
              </w:r>
            </w:hyperlink>
            <w:r>
              <w:rPr>
                <w:rFonts w:ascii="Times New Roman" w:eastAsia="Times New Roman" w:hAnsi="Times New Roman" w:cs="Times New Roman"/>
              </w:rPr>
              <w:t xml:space="preserve"> </w:t>
            </w:r>
          </w:p>
        </w:tc>
        <w:tc>
          <w:tcPr>
            <w:tcW w:w="6765" w:type="dxa"/>
            <w:tcMar>
              <w:top w:w="100" w:type="dxa"/>
              <w:left w:w="100" w:type="dxa"/>
              <w:bottom w:w="100" w:type="dxa"/>
              <w:right w:w="100" w:type="dxa"/>
            </w:tcMar>
          </w:tcPr>
          <w:p w:rsidR="00B46DDF" w:rsidRDefault="00F81D2F">
            <w:pPr>
              <w:widowControl w:val="0"/>
              <w:spacing w:line="240" w:lineRule="auto"/>
            </w:pPr>
            <w:r>
              <w:rPr>
                <w:rFonts w:ascii="Times New Roman" w:eastAsia="Times New Roman" w:hAnsi="Times New Roman" w:cs="Times New Roman"/>
              </w:rPr>
              <w:t>Nonfiction literacy and current events.</w:t>
            </w:r>
          </w:p>
        </w:tc>
      </w:tr>
      <w:tr w:rsidR="00B46DDF">
        <w:tc>
          <w:tcPr>
            <w:tcW w:w="2370" w:type="dxa"/>
            <w:tcMar>
              <w:top w:w="100" w:type="dxa"/>
              <w:left w:w="100" w:type="dxa"/>
              <w:bottom w:w="100" w:type="dxa"/>
              <w:right w:w="100" w:type="dxa"/>
            </w:tcMar>
          </w:tcPr>
          <w:p w:rsidR="00B46DDF" w:rsidRDefault="00B46DDF">
            <w:pPr>
              <w:widowControl w:val="0"/>
              <w:spacing w:line="240" w:lineRule="auto"/>
            </w:pPr>
          </w:p>
        </w:tc>
        <w:tc>
          <w:tcPr>
            <w:tcW w:w="3825" w:type="dxa"/>
            <w:tcMar>
              <w:top w:w="100" w:type="dxa"/>
              <w:left w:w="100" w:type="dxa"/>
              <w:bottom w:w="100" w:type="dxa"/>
              <w:right w:w="100" w:type="dxa"/>
            </w:tcMar>
          </w:tcPr>
          <w:p w:rsidR="00B46DDF" w:rsidRDefault="00B46DDF">
            <w:pPr>
              <w:widowControl w:val="0"/>
              <w:spacing w:line="240" w:lineRule="auto"/>
            </w:pPr>
          </w:p>
        </w:tc>
        <w:tc>
          <w:tcPr>
            <w:tcW w:w="6765" w:type="dxa"/>
            <w:tcMar>
              <w:top w:w="100" w:type="dxa"/>
              <w:left w:w="100" w:type="dxa"/>
              <w:bottom w:w="100" w:type="dxa"/>
              <w:right w:w="100" w:type="dxa"/>
            </w:tcMar>
          </w:tcPr>
          <w:p w:rsidR="00B46DDF" w:rsidRDefault="00B46DDF">
            <w:pPr>
              <w:widowControl w:val="0"/>
              <w:spacing w:line="240" w:lineRule="auto"/>
            </w:pPr>
          </w:p>
        </w:tc>
      </w:tr>
      <w:tr w:rsidR="00B46DDF">
        <w:tc>
          <w:tcPr>
            <w:tcW w:w="2370" w:type="dxa"/>
            <w:tcMar>
              <w:top w:w="100" w:type="dxa"/>
              <w:left w:w="100" w:type="dxa"/>
              <w:bottom w:w="100" w:type="dxa"/>
              <w:right w:w="100" w:type="dxa"/>
            </w:tcMar>
          </w:tcPr>
          <w:p w:rsidR="00B46DDF" w:rsidRDefault="00B46DDF">
            <w:pPr>
              <w:widowControl w:val="0"/>
              <w:spacing w:line="240" w:lineRule="auto"/>
            </w:pPr>
          </w:p>
        </w:tc>
        <w:tc>
          <w:tcPr>
            <w:tcW w:w="3825" w:type="dxa"/>
            <w:tcMar>
              <w:top w:w="100" w:type="dxa"/>
              <w:left w:w="100" w:type="dxa"/>
              <w:bottom w:w="100" w:type="dxa"/>
              <w:right w:w="100" w:type="dxa"/>
            </w:tcMar>
          </w:tcPr>
          <w:p w:rsidR="00B46DDF" w:rsidRDefault="00B46DDF">
            <w:pPr>
              <w:widowControl w:val="0"/>
              <w:spacing w:line="240" w:lineRule="auto"/>
            </w:pPr>
          </w:p>
        </w:tc>
        <w:tc>
          <w:tcPr>
            <w:tcW w:w="6765" w:type="dxa"/>
            <w:tcMar>
              <w:top w:w="100" w:type="dxa"/>
              <w:left w:w="100" w:type="dxa"/>
              <w:bottom w:w="100" w:type="dxa"/>
              <w:right w:w="100" w:type="dxa"/>
            </w:tcMar>
          </w:tcPr>
          <w:p w:rsidR="00B46DDF" w:rsidRDefault="00B46DDF">
            <w:pPr>
              <w:widowControl w:val="0"/>
              <w:spacing w:line="240" w:lineRule="auto"/>
            </w:pPr>
          </w:p>
        </w:tc>
      </w:tr>
      <w:tr w:rsidR="00B46DDF">
        <w:tc>
          <w:tcPr>
            <w:tcW w:w="2370" w:type="dxa"/>
            <w:tcMar>
              <w:top w:w="100" w:type="dxa"/>
              <w:left w:w="100" w:type="dxa"/>
              <w:bottom w:w="100" w:type="dxa"/>
              <w:right w:w="100" w:type="dxa"/>
            </w:tcMar>
          </w:tcPr>
          <w:p w:rsidR="00B46DDF" w:rsidRDefault="00B46DDF">
            <w:pPr>
              <w:widowControl w:val="0"/>
              <w:spacing w:line="240" w:lineRule="auto"/>
            </w:pPr>
          </w:p>
        </w:tc>
        <w:tc>
          <w:tcPr>
            <w:tcW w:w="3825" w:type="dxa"/>
            <w:tcMar>
              <w:top w:w="100" w:type="dxa"/>
              <w:left w:w="100" w:type="dxa"/>
              <w:bottom w:w="100" w:type="dxa"/>
              <w:right w:w="100" w:type="dxa"/>
            </w:tcMar>
          </w:tcPr>
          <w:p w:rsidR="00B46DDF" w:rsidRDefault="00B46DDF">
            <w:pPr>
              <w:widowControl w:val="0"/>
              <w:spacing w:line="240" w:lineRule="auto"/>
            </w:pPr>
          </w:p>
        </w:tc>
        <w:tc>
          <w:tcPr>
            <w:tcW w:w="6765" w:type="dxa"/>
            <w:tcMar>
              <w:top w:w="100" w:type="dxa"/>
              <w:left w:w="100" w:type="dxa"/>
              <w:bottom w:w="100" w:type="dxa"/>
              <w:right w:w="100" w:type="dxa"/>
            </w:tcMar>
          </w:tcPr>
          <w:p w:rsidR="00B46DDF" w:rsidRDefault="00B46DDF">
            <w:pPr>
              <w:widowControl w:val="0"/>
              <w:spacing w:line="240" w:lineRule="auto"/>
            </w:pPr>
          </w:p>
        </w:tc>
      </w:tr>
      <w:tr w:rsidR="00B46DDF">
        <w:tc>
          <w:tcPr>
            <w:tcW w:w="2370" w:type="dxa"/>
            <w:tcMar>
              <w:top w:w="100" w:type="dxa"/>
              <w:left w:w="100" w:type="dxa"/>
              <w:bottom w:w="100" w:type="dxa"/>
              <w:right w:w="100" w:type="dxa"/>
            </w:tcMar>
          </w:tcPr>
          <w:p w:rsidR="00B46DDF" w:rsidRDefault="00B46DDF">
            <w:pPr>
              <w:widowControl w:val="0"/>
              <w:spacing w:line="240" w:lineRule="auto"/>
            </w:pPr>
          </w:p>
        </w:tc>
        <w:tc>
          <w:tcPr>
            <w:tcW w:w="3825" w:type="dxa"/>
            <w:tcMar>
              <w:top w:w="100" w:type="dxa"/>
              <w:left w:w="100" w:type="dxa"/>
              <w:bottom w:w="100" w:type="dxa"/>
              <w:right w:w="100" w:type="dxa"/>
            </w:tcMar>
          </w:tcPr>
          <w:p w:rsidR="00B46DDF" w:rsidRDefault="00B46DDF">
            <w:pPr>
              <w:widowControl w:val="0"/>
              <w:spacing w:line="240" w:lineRule="auto"/>
            </w:pPr>
          </w:p>
        </w:tc>
        <w:tc>
          <w:tcPr>
            <w:tcW w:w="6765" w:type="dxa"/>
            <w:tcMar>
              <w:top w:w="100" w:type="dxa"/>
              <w:left w:w="100" w:type="dxa"/>
              <w:bottom w:w="100" w:type="dxa"/>
              <w:right w:w="100" w:type="dxa"/>
            </w:tcMar>
          </w:tcPr>
          <w:p w:rsidR="00B46DDF" w:rsidRDefault="00B46DDF">
            <w:pPr>
              <w:widowControl w:val="0"/>
              <w:spacing w:line="240" w:lineRule="auto"/>
            </w:pPr>
          </w:p>
        </w:tc>
      </w:tr>
    </w:tbl>
    <w:p w:rsidR="00B46DDF" w:rsidRDefault="00B46DDF"/>
    <w:sectPr w:rsidR="00B46DDF" w:rsidSect="00F8520D">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DF"/>
    <w:rsid w:val="002C351D"/>
    <w:rsid w:val="00B46DDF"/>
    <w:rsid w:val="00F81D2F"/>
    <w:rsid w:val="00F8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BEDAB-E5D8-4722-B297-98CCF9EE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852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wikipedia.org/wiki/Scholarly_literature" TargetMode="External"/><Relationship Id="rId13" Type="http://schemas.openxmlformats.org/officeDocument/2006/relationships/hyperlink" Target="http://en.wikipedia.org/wiki/Academic_journal" TargetMode="External"/><Relationship Id="rId18" Type="http://schemas.openxmlformats.org/officeDocument/2006/relationships/hyperlink" Target="https://newsela.com/" TargetMode="External"/><Relationship Id="rId3" Type="http://schemas.openxmlformats.org/officeDocument/2006/relationships/webSettings" Target="webSettings.xml"/><Relationship Id="rId7" Type="http://schemas.openxmlformats.org/officeDocument/2006/relationships/hyperlink" Target="http://en.wikipedia.org/wiki/Scholarly_literature" TargetMode="External"/><Relationship Id="rId12" Type="http://schemas.openxmlformats.org/officeDocument/2006/relationships/hyperlink" Target="http://en.wikipedia.org/wiki/Peer_review" TargetMode="External"/><Relationship Id="rId17" Type="http://schemas.openxmlformats.org/officeDocument/2006/relationships/hyperlink" Target="http://www.pbslearningmedia.org/" TargetMode="External"/><Relationship Id="rId2" Type="http://schemas.openxmlformats.org/officeDocument/2006/relationships/settings" Target="settings.xml"/><Relationship Id="rId16" Type="http://schemas.openxmlformats.org/officeDocument/2006/relationships/hyperlink" Target="http://en.wikipedia.org/wiki/Googl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Web_search_engine" TargetMode="External"/><Relationship Id="rId11" Type="http://schemas.openxmlformats.org/officeDocument/2006/relationships/hyperlink" Target="http://en.wikipedia.org/wiki/Peer_review" TargetMode="External"/><Relationship Id="rId5" Type="http://schemas.openxmlformats.org/officeDocument/2006/relationships/hyperlink" Target="http://en.wikipedia.org/wiki/Web_search_engine" TargetMode="External"/><Relationship Id="rId15" Type="http://schemas.openxmlformats.org/officeDocument/2006/relationships/hyperlink" Target="http://en.wikipedia.org/wiki/Google" TargetMode="External"/><Relationship Id="rId10" Type="http://schemas.openxmlformats.org/officeDocument/2006/relationships/hyperlink" Target="http://en.wikipedia.org/wiki/Beta_release" TargetMode="External"/><Relationship Id="rId19" Type="http://schemas.openxmlformats.org/officeDocument/2006/relationships/fontTable" Target="fontTable.xml"/><Relationship Id="rId4" Type="http://schemas.openxmlformats.org/officeDocument/2006/relationships/hyperlink" Target="http://scholar.google.com/" TargetMode="External"/><Relationship Id="rId9" Type="http://schemas.openxmlformats.org/officeDocument/2006/relationships/hyperlink" Target="http://en.wikipedia.org/wiki/Beta_release" TargetMode="External"/><Relationship Id="rId14" Type="http://schemas.openxmlformats.org/officeDocument/2006/relationships/hyperlink" Target="http://en.wikipedia.org/wiki/Academic_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Online Resources for Informative / Explanatory Text.docx</vt:lpstr>
    </vt:vector>
  </TitlesOfParts>
  <Company>Grand Valley State University</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Resources for Informative / Explanatory Text.docx</dc:title>
  <dc:creator>Karen Meyers</dc:creator>
  <cp:lastModifiedBy>Pamela DeJong</cp:lastModifiedBy>
  <cp:revision>3</cp:revision>
  <cp:lastPrinted>2014-11-04T17:43:00Z</cp:lastPrinted>
  <dcterms:created xsi:type="dcterms:W3CDTF">2014-11-04T17:39:00Z</dcterms:created>
  <dcterms:modified xsi:type="dcterms:W3CDTF">2014-11-04T17:54:00Z</dcterms:modified>
</cp:coreProperties>
</file>