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E8" w:rsidRDefault="00425E9A">
      <w:pPr>
        <w:spacing w:before="36" w:after="0" w:line="240" w:lineRule="auto"/>
        <w:ind w:left="1797" w:right="1712"/>
        <w:jc w:val="center"/>
        <w:rPr>
          <w:rFonts w:ascii="Arial" w:eastAsia="Arial" w:hAnsi="Arial" w:cs="Arial"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80.15pt;margin-top:436.8pt;width:200.65pt;height:250.55pt;z-index:-251659264;mso-position-horizontal-relative:page;mso-position-vertical-relative:page" wrapcoords="-81 0 -81 21535 21600 21535 21600 0 -81 0">
            <v:imagedata r:id="rId5" o:title=""/>
            <w10:wrap type="tight" anchorx="page" anchory="page"/>
          </v:shape>
        </w:pict>
      </w:r>
      <w:r>
        <w:rPr>
          <w:rFonts w:ascii="Arial" w:eastAsia="Arial" w:hAnsi="Arial" w:cs="Arial"/>
          <w:b/>
          <w:bCs/>
          <w:color w:val="2189B6"/>
          <w:w w:val="90"/>
          <w:sz w:val="44"/>
          <w:szCs w:val="44"/>
        </w:rPr>
        <w:t>LEVELS</w:t>
      </w:r>
      <w:r>
        <w:rPr>
          <w:rFonts w:ascii="Arial" w:eastAsia="Arial" w:hAnsi="Arial" w:cs="Arial"/>
          <w:b/>
          <w:bCs/>
          <w:color w:val="2189B6"/>
          <w:spacing w:val="-1"/>
          <w:w w:val="90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2189B6"/>
          <w:w w:val="90"/>
          <w:sz w:val="44"/>
          <w:szCs w:val="44"/>
        </w:rPr>
        <w:t>OF</w:t>
      </w:r>
      <w:r>
        <w:rPr>
          <w:rFonts w:ascii="Arial" w:eastAsia="Arial" w:hAnsi="Arial" w:cs="Arial"/>
          <w:b/>
          <w:bCs/>
          <w:color w:val="2189B6"/>
          <w:spacing w:val="9"/>
          <w:w w:val="90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2189B6"/>
          <w:w w:val="94"/>
          <w:sz w:val="44"/>
          <w:szCs w:val="44"/>
        </w:rPr>
        <w:t>COGNITIVE</w:t>
      </w:r>
      <w:r>
        <w:rPr>
          <w:rFonts w:ascii="Arial" w:eastAsia="Arial" w:hAnsi="Arial" w:cs="Arial"/>
          <w:b/>
          <w:bCs/>
          <w:color w:val="2189B6"/>
          <w:spacing w:val="-20"/>
          <w:w w:val="94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2189B6"/>
          <w:w w:val="94"/>
          <w:sz w:val="44"/>
          <w:szCs w:val="44"/>
        </w:rPr>
        <w:t>DEMAND</w:t>
      </w:r>
    </w:p>
    <w:p w:rsidR="00066EE8" w:rsidRDefault="00066EE8">
      <w:pPr>
        <w:spacing w:before="8" w:after="0" w:line="180" w:lineRule="exact"/>
        <w:rPr>
          <w:sz w:val="18"/>
          <w:szCs w:val="18"/>
        </w:rPr>
      </w:pPr>
    </w:p>
    <w:p w:rsidR="00066EE8" w:rsidRDefault="00066EE8">
      <w:pPr>
        <w:spacing w:after="0" w:line="200" w:lineRule="exact"/>
        <w:rPr>
          <w:sz w:val="20"/>
          <w:szCs w:val="20"/>
        </w:rPr>
      </w:pPr>
    </w:p>
    <w:p w:rsidR="00066EE8" w:rsidRPr="00823AA1" w:rsidRDefault="00425E9A" w:rsidP="00823AA1">
      <w:pPr>
        <w:spacing w:after="0" w:line="240" w:lineRule="auto"/>
        <w:ind w:left="125" w:right="-20"/>
        <w:rPr>
          <w:rFonts w:ascii="Arial" w:eastAsia="Arial" w:hAnsi="Arial" w:cs="Arial"/>
          <w:b/>
          <w:color w:val="D16E4B"/>
          <w:w w:val="93"/>
          <w:sz w:val="21"/>
          <w:szCs w:val="21"/>
        </w:rPr>
      </w:pPr>
      <w:r w:rsidRPr="00823AA1">
        <w:rPr>
          <w:rFonts w:ascii="Arial" w:eastAsia="Arial" w:hAnsi="Arial" w:cs="Arial"/>
          <w:b/>
          <w:color w:val="D16E4B"/>
          <w:w w:val="93"/>
          <w:sz w:val="21"/>
          <w:szCs w:val="21"/>
        </w:rPr>
        <w:t>LOWER-LEVEL</w:t>
      </w:r>
      <w:r w:rsidRPr="00823AA1">
        <w:rPr>
          <w:rFonts w:ascii="Arial" w:eastAsia="Arial" w:hAnsi="Arial" w:cs="Arial"/>
          <w:b/>
          <w:color w:val="D16E4B"/>
          <w:w w:val="93"/>
          <w:sz w:val="21"/>
          <w:szCs w:val="21"/>
        </w:rPr>
        <w:t xml:space="preserve"> </w:t>
      </w:r>
      <w:r w:rsidRPr="00823AA1">
        <w:rPr>
          <w:rFonts w:ascii="Arial" w:eastAsia="Arial" w:hAnsi="Arial" w:cs="Arial"/>
          <w:b/>
          <w:color w:val="D16E4B"/>
          <w:w w:val="93"/>
          <w:sz w:val="21"/>
          <w:szCs w:val="21"/>
        </w:rPr>
        <w:t>DEMANDS</w:t>
      </w:r>
    </w:p>
    <w:p w:rsidR="00066EE8" w:rsidRPr="00823AA1" w:rsidRDefault="00EE7A02" w:rsidP="00823AA1">
      <w:pPr>
        <w:tabs>
          <w:tab w:val="left" w:pos="2420"/>
        </w:tabs>
        <w:spacing w:after="0" w:line="240" w:lineRule="auto"/>
        <w:ind w:left="180" w:right="-20"/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</w:pPr>
      <w:r w:rsidRPr="00823AA1"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  <w:t>Memorization</w:t>
      </w:r>
    </w:p>
    <w:p w:rsidR="00066EE8" w:rsidRPr="00823AA1" w:rsidRDefault="00425E9A" w:rsidP="00823AA1">
      <w:pPr>
        <w:pStyle w:val="ListParagraph"/>
        <w:numPr>
          <w:ilvl w:val="0"/>
          <w:numId w:val="3"/>
        </w:numPr>
        <w:spacing w:before="17" w:after="0" w:line="230" w:lineRule="exact"/>
        <w:ind w:left="450" w:right="317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Involves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either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reproducing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previously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learned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facts,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rules,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formulas,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definitions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committing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facts,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rules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formulas,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definitions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memory.</w:t>
      </w:r>
    </w:p>
    <w:p w:rsidR="00066EE8" w:rsidRPr="00823AA1" w:rsidRDefault="00425E9A" w:rsidP="00823AA1">
      <w:pPr>
        <w:pStyle w:val="ListParagraph"/>
        <w:numPr>
          <w:ilvl w:val="0"/>
          <w:numId w:val="3"/>
        </w:numPr>
        <w:spacing w:after="0" w:line="230" w:lineRule="exact"/>
        <w:ind w:left="450" w:right="289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Cannot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solved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usi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because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does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exist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because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time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frame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which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is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completed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short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procedure.</w:t>
      </w:r>
    </w:p>
    <w:p w:rsidR="00066EE8" w:rsidRPr="00823AA1" w:rsidRDefault="00425E9A" w:rsidP="00D317BE">
      <w:pPr>
        <w:pStyle w:val="ListParagraph"/>
        <w:numPr>
          <w:ilvl w:val="0"/>
          <w:numId w:val="3"/>
        </w:numPr>
        <w:spacing w:after="0" w:line="229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ambiguous.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Such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volve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exact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reproduction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previously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seen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material,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reproduced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clearly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directly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stated.</w:t>
      </w:r>
    </w:p>
    <w:p w:rsidR="00066EE8" w:rsidRPr="00823AA1" w:rsidRDefault="00425E9A" w:rsidP="00823AA1">
      <w:pPr>
        <w:pStyle w:val="ListParagraph"/>
        <w:numPr>
          <w:ilvl w:val="0"/>
          <w:numId w:val="3"/>
        </w:numPr>
        <w:spacing w:before="20" w:after="0" w:line="220" w:lineRule="exact"/>
        <w:ind w:left="450" w:right="368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Have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connection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meaning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underlie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facts,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rules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formulas,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definitions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learned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 reproduced.</w:t>
      </w:r>
    </w:p>
    <w:p w:rsidR="00066EE8" w:rsidRDefault="00066EE8">
      <w:pPr>
        <w:spacing w:before="8" w:after="0" w:line="190" w:lineRule="exact"/>
        <w:rPr>
          <w:sz w:val="19"/>
          <w:szCs w:val="19"/>
        </w:rPr>
      </w:pPr>
    </w:p>
    <w:p w:rsidR="00066EE8" w:rsidRPr="00823AA1" w:rsidRDefault="00EE7A02" w:rsidP="00EE7A02">
      <w:pPr>
        <w:tabs>
          <w:tab w:val="left" w:pos="2420"/>
        </w:tabs>
        <w:spacing w:after="0" w:line="240" w:lineRule="auto"/>
        <w:ind w:left="180" w:right="-20"/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</w:pPr>
      <w:r w:rsidRPr="00823AA1"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  <w:t>Procedures without Connections</w:t>
      </w:r>
    </w:p>
    <w:p w:rsidR="00066EE8" w:rsidRPr="00823AA1" w:rsidRDefault="00425E9A" w:rsidP="00FE6F60">
      <w:pPr>
        <w:pStyle w:val="ListParagraph"/>
        <w:numPr>
          <w:ilvl w:val="0"/>
          <w:numId w:val="2"/>
        </w:numPr>
        <w:spacing w:after="0" w:line="229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algo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ri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thm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.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either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specifically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called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evident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from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prior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instruction,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experience,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placement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task.</w:t>
      </w:r>
    </w:p>
    <w:p w:rsidR="00066EE8" w:rsidRPr="00823AA1" w:rsidRDefault="00425E9A" w:rsidP="00823AA1">
      <w:pPr>
        <w:pStyle w:val="ListParagraph"/>
        <w:numPr>
          <w:ilvl w:val="0"/>
          <w:numId w:val="2"/>
        </w:numPr>
        <w:spacing w:before="3" w:after="0" w:line="230" w:lineRule="exact"/>
        <w:ind w:left="450" w:right="282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Require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limited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cognitive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demand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successfu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completion.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Little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ambiguity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exists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about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needs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done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and 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how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it.</w:t>
      </w:r>
    </w:p>
    <w:p w:rsidR="00066EE8" w:rsidRPr="00823AA1" w:rsidRDefault="00F06297" w:rsidP="00823AA1">
      <w:pPr>
        <w:pStyle w:val="ListParagraph"/>
        <w:numPr>
          <w:ilvl w:val="0"/>
          <w:numId w:val="2"/>
        </w:numPr>
        <w:spacing w:after="0" w:line="229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Have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connection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concepts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meaning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underlie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g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used.</w:t>
      </w:r>
    </w:p>
    <w:p w:rsidR="00066EE8" w:rsidRPr="00823AA1" w:rsidRDefault="00F06297" w:rsidP="00823AA1">
      <w:pPr>
        <w:pStyle w:val="ListParagraph"/>
        <w:numPr>
          <w:ilvl w:val="0"/>
          <w:numId w:val="2"/>
        </w:numPr>
        <w:tabs>
          <w:tab w:val="left" w:pos="520"/>
        </w:tabs>
        <w:spacing w:after="0" w:line="226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Are focused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on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producing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correct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answers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instead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on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developing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mathematica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understandi</w:t>
      </w:r>
      <w:r w:rsidR="00425E9A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ng.</w:t>
      </w:r>
    </w:p>
    <w:p w:rsidR="00066EE8" w:rsidRPr="00823AA1" w:rsidRDefault="00425E9A" w:rsidP="00823AA1">
      <w:pPr>
        <w:pStyle w:val="ListParagraph"/>
        <w:numPr>
          <w:ilvl w:val="0"/>
          <w:numId w:val="2"/>
        </w:numPr>
        <w:spacing w:after="0" w:line="229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Require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either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explanations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explanations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focus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solely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describing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was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used.</w:t>
      </w:r>
    </w:p>
    <w:p w:rsidR="00066EE8" w:rsidRDefault="00066EE8">
      <w:pPr>
        <w:spacing w:after="0" w:line="200" w:lineRule="exact"/>
        <w:rPr>
          <w:sz w:val="20"/>
          <w:szCs w:val="20"/>
        </w:rPr>
      </w:pPr>
    </w:p>
    <w:p w:rsidR="00823AA1" w:rsidRDefault="00823AA1">
      <w:pPr>
        <w:spacing w:after="0" w:line="200" w:lineRule="exact"/>
        <w:rPr>
          <w:sz w:val="20"/>
          <w:szCs w:val="20"/>
        </w:rPr>
      </w:pPr>
    </w:p>
    <w:p w:rsidR="00066EE8" w:rsidRPr="00823AA1" w:rsidRDefault="00425E9A">
      <w:pPr>
        <w:spacing w:after="0" w:line="240" w:lineRule="auto"/>
        <w:ind w:left="125" w:right="-20"/>
        <w:rPr>
          <w:rFonts w:ascii="Arial" w:eastAsia="Arial" w:hAnsi="Arial" w:cs="Arial"/>
          <w:b/>
          <w:color w:val="D16E4B"/>
          <w:w w:val="93"/>
          <w:sz w:val="21"/>
          <w:szCs w:val="21"/>
        </w:rPr>
      </w:pPr>
      <w:r w:rsidRPr="00823AA1">
        <w:rPr>
          <w:rFonts w:ascii="Arial" w:eastAsia="Arial" w:hAnsi="Arial" w:cs="Arial"/>
          <w:b/>
          <w:color w:val="D16E4B"/>
          <w:w w:val="93"/>
          <w:sz w:val="21"/>
          <w:szCs w:val="21"/>
        </w:rPr>
        <w:t>HIGHER-LEVEL</w:t>
      </w:r>
      <w:r w:rsidRPr="00823AA1">
        <w:rPr>
          <w:rFonts w:ascii="Arial" w:eastAsia="Arial" w:hAnsi="Arial" w:cs="Arial"/>
          <w:b/>
          <w:color w:val="D16E4B"/>
          <w:w w:val="93"/>
          <w:sz w:val="21"/>
          <w:szCs w:val="21"/>
        </w:rPr>
        <w:t xml:space="preserve"> </w:t>
      </w:r>
      <w:r w:rsidRPr="00823AA1">
        <w:rPr>
          <w:rFonts w:ascii="Arial" w:eastAsia="Arial" w:hAnsi="Arial" w:cs="Arial"/>
          <w:b/>
          <w:color w:val="D16E4B"/>
          <w:w w:val="93"/>
          <w:sz w:val="21"/>
          <w:szCs w:val="21"/>
        </w:rPr>
        <w:t>DEMANDS</w:t>
      </w:r>
    </w:p>
    <w:p w:rsidR="00066EE8" w:rsidRPr="00823AA1" w:rsidRDefault="00EE7A02" w:rsidP="00F06297">
      <w:pPr>
        <w:tabs>
          <w:tab w:val="left" w:pos="2420"/>
        </w:tabs>
        <w:spacing w:after="0" w:line="240" w:lineRule="auto"/>
        <w:ind w:left="180" w:right="-20"/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</w:pPr>
      <w:r w:rsidRPr="00823AA1"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  <w:t>Procedures with Connections</w:t>
      </w:r>
    </w:p>
    <w:p w:rsidR="00066EE8" w:rsidRPr="00823AA1" w:rsidRDefault="00425E9A" w:rsidP="00823AA1">
      <w:pPr>
        <w:pStyle w:val="ListParagraph"/>
        <w:numPr>
          <w:ilvl w:val="0"/>
          <w:numId w:val="1"/>
        </w:numPr>
        <w:spacing w:after="0" w:line="230" w:lineRule="exact"/>
        <w:ind w:left="450" w:right="512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Focus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students'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attention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purpose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developing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deeper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levels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understanding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of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mathematica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deas.</w:t>
      </w:r>
    </w:p>
    <w:p w:rsidR="00066EE8" w:rsidRPr="00823AA1" w:rsidRDefault="00425E9A" w:rsidP="006F1C67">
      <w:pPr>
        <w:pStyle w:val="ListParagraph"/>
        <w:numPr>
          <w:ilvl w:val="0"/>
          <w:numId w:val="1"/>
        </w:numPr>
        <w:spacing w:after="0" w:line="229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Explicitly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implicitly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suggest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pathways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follow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broad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general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have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close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connections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underlying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conceptua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ideas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opposed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narrow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algorithms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opaque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with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respect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underlying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concepts.</w:t>
      </w:r>
    </w:p>
    <w:p w:rsidR="00066EE8" w:rsidRPr="00823AA1" w:rsidRDefault="00425E9A" w:rsidP="0061246C">
      <w:pPr>
        <w:pStyle w:val="ListParagraph"/>
        <w:numPr>
          <w:ilvl w:val="0"/>
          <w:numId w:val="1"/>
        </w:numPr>
        <w:spacing w:after="0" w:line="229" w:lineRule="exact"/>
        <w:ind w:left="450" w:right="-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Usually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represented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multiple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ways,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such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visual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diagrams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manipulatives,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symbols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problem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situations.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Making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connections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among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multiple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representations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helps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develop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meaning.</w:t>
      </w:r>
    </w:p>
    <w:p w:rsidR="00066EE8" w:rsidRPr="00823AA1" w:rsidRDefault="00425E9A" w:rsidP="00823AA1">
      <w:pPr>
        <w:pStyle w:val="ListParagraph"/>
        <w:numPr>
          <w:ilvl w:val="0"/>
          <w:numId w:val="1"/>
        </w:numPr>
        <w:spacing w:before="3" w:after="0" w:line="230" w:lineRule="exact"/>
        <w:ind w:left="450" w:right="2674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Require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some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degree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cognitive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effort.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Although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general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followed,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they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cannot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followed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mindlessly.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Students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need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engage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wit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conceptua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ideas 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="00EE7A02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derlie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procedures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complete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successfully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develop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understanding.</w:t>
      </w:r>
    </w:p>
    <w:p w:rsidR="00066EE8" w:rsidRDefault="00066EE8">
      <w:pPr>
        <w:spacing w:before="3" w:after="0" w:line="160" w:lineRule="exact"/>
        <w:rPr>
          <w:sz w:val="16"/>
          <w:szCs w:val="16"/>
        </w:rPr>
      </w:pPr>
    </w:p>
    <w:p w:rsidR="00066EE8" w:rsidRPr="00823AA1" w:rsidRDefault="00EE7A02" w:rsidP="00F06297">
      <w:pPr>
        <w:tabs>
          <w:tab w:val="left" w:pos="2420"/>
        </w:tabs>
        <w:spacing w:after="0" w:line="240" w:lineRule="auto"/>
        <w:ind w:left="180" w:right="-20"/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</w:pPr>
      <w:r w:rsidRPr="00823AA1">
        <w:rPr>
          <w:rFonts w:ascii="Arial" w:eastAsia="Arial" w:hAnsi="Arial" w:cs="Arial"/>
          <w:b/>
          <w:i/>
          <w:color w:val="548DD4" w:themeColor="text2" w:themeTint="99"/>
          <w:w w:val="92"/>
          <w:sz w:val="19"/>
          <w:szCs w:val="19"/>
        </w:rPr>
        <w:t>Doing Mathematics</w:t>
      </w:r>
    </w:p>
    <w:p w:rsidR="00066EE8" w:rsidRPr="00823AA1" w:rsidRDefault="00425E9A" w:rsidP="00557D87">
      <w:pPr>
        <w:pStyle w:val="ListParagraph"/>
        <w:numPr>
          <w:ilvl w:val="0"/>
          <w:numId w:val="4"/>
        </w:numPr>
        <w:spacing w:before="3" w:after="0" w:line="230" w:lineRule="exact"/>
        <w:ind w:left="450" w:right="3432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Involve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complex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proofErr w:type="spellStart"/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nonalgorithmic</w:t>
      </w:r>
      <w:proofErr w:type="spellEnd"/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thinking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—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predictable,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well-rehearsed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approach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pathwa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not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explicitly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suggested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instructions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worked-out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example.</w:t>
      </w:r>
    </w:p>
    <w:p w:rsidR="00066EE8" w:rsidRPr="00823AA1" w:rsidRDefault="00425E9A" w:rsidP="00823AA1">
      <w:pPr>
        <w:pStyle w:val="ListParagraph"/>
        <w:numPr>
          <w:ilvl w:val="0"/>
          <w:numId w:val="4"/>
        </w:numPr>
        <w:spacing w:after="0" w:line="230" w:lineRule="exact"/>
        <w:ind w:left="450" w:right="3920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Require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students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explore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understand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nature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mathematical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concepts,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processes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relationships.</w:t>
      </w:r>
    </w:p>
    <w:p w:rsidR="00823AA1" w:rsidRPr="00823AA1" w:rsidRDefault="00425E9A" w:rsidP="00823AA1">
      <w:pPr>
        <w:pStyle w:val="ListParagraph"/>
        <w:numPr>
          <w:ilvl w:val="0"/>
          <w:numId w:val="4"/>
        </w:numPr>
        <w:spacing w:after="0" w:line="230" w:lineRule="exact"/>
        <w:ind w:left="450" w:right="3593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Demand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self-monito</w:t>
      </w:r>
      <w:r w:rsidR="00F06297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ri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self-regulation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one's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own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cognitive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processes.</w:t>
      </w:r>
    </w:p>
    <w:p w:rsidR="00066EE8" w:rsidRPr="00823AA1" w:rsidRDefault="00425E9A" w:rsidP="00823AA1">
      <w:pPr>
        <w:pStyle w:val="ListParagraph"/>
        <w:numPr>
          <w:ilvl w:val="0"/>
          <w:numId w:val="4"/>
        </w:numPr>
        <w:spacing w:after="0" w:line="230" w:lineRule="exact"/>
        <w:ind w:left="450" w:right="3593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Require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students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access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relevant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knowledge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experiences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make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appropriate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use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them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working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through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task.</w:t>
      </w:r>
    </w:p>
    <w:p w:rsidR="00066EE8" w:rsidRPr="00823AA1" w:rsidRDefault="00425E9A" w:rsidP="00823AA1">
      <w:pPr>
        <w:pStyle w:val="ListParagraph"/>
        <w:numPr>
          <w:ilvl w:val="0"/>
          <w:numId w:val="4"/>
        </w:numPr>
        <w:spacing w:before="17" w:after="0" w:line="220" w:lineRule="exact"/>
        <w:ind w:left="450" w:right="3693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q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students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to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analyze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actively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examine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task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constra</w:t>
      </w:r>
      <w:r w:rsidR="00EE7A02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nts that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limit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possible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solution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strategies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solutions.</w:t>
      </w:r>
    </w:p>
    <w:p w:rsidR="00066EE8" w:rsidRPr="00823AA1" w:rsidRDefault="00425E9A" w:rsidP="00823AA1">
      <w:pPr>
        <w:pStyle w:val="ListParagraph"/>
        <w:numPr>
          <w:ilvl w:val="0"/>
          <w:numId w:val="4"/>
        </w:numPr>
        <w:spacing w:before="11" w:after="0" w:line="230" w:lineRule="exact"/>
        <w:ind w:left="450" w:right="3623" w:hanging="18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Require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considerable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cognitive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effort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may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involve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some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leve</w:t>
      </w:r>
      <w:r w:rsidR="00823AA1"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anxiety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for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student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because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unpredictable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nature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solution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process required.</w:t>
      </w:r>
    </w:p>
    <w:p w:rsidR="00066EE8" w:rsidRDefault="00066EE8">
      <w:pPr>
        <w:spacing w:before="3" w:after="0" w:line="260" w:lineRule="exact"/>
        <w:rPr>
          <w:sz w:val="26"/>
          <w:szCs w:val="26"/>
        </w:rPr>
      </w:pPr>
    </w:p>
    <w:p w:rsidR="00823AA1" w:rsidRDefault="00823AA1">
      <w:pPr>
        <w:spacing w:before="3" w:after="0" w:line="260" w:lineRule="exact"/>
        <w:rPr>
          <w:sz w:val="26"/>
          <w:szCs w:val="26"/>
        </w:rPr>
      </w:pPr>
    </w:p>
    <w:p w:rsidR="00066EE8" w:rsidRPr="00823AA1" w:rsidRDefault="00425E9A">
      <w:pPr>
        <w:spacing w:after="0" w:line="240" w:lineRule="auto"/>
        <w:ind w:left="106" w:right="-2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Smith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and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Stein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(1998).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Reprinted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w1th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permission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from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proofErr w:type="gramStart"/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Mathematics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Teaching</w:t>
      </w:r>
      <w:proofErr w:type="gramEnd"/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in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Middle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School,</w:t>
      </w:r>
    </w:p>
    <w:p w:rsidR="00066EE8" w:rsidRPr="00823AA1" w:rsidRDefault="00425E9A">
      <w:pPr>
        <w:spacing w:before="18" w:after="0" w:line="240" w:lineRule="auto"/>
        <w:ind w:left="353" w:right="-20"/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</w:pP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©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1998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by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the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National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Council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Teachers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of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Mathematics.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All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rights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90"/>
          <w:sz w:val="20"/>
          <w:szCs w:val="20"/>
        </w:rPr>
        <w:t>reserved.</w:t>
      </w:r>
    </w:p>
    <w:p w:rsidR="00066EE8" w:rsidRPr="00823AA1" w:rsidRDefault="00066EE8">
      <w:pPr>
        <w:spacing w:before="5" w:after="0" w:line="110" w:lineRule="exact"/>
        <w:rPr>
          <w:color w:val="595959" w:themeColor="text1" w:themeTint="A6"/>
          <w:sz w:val="11"/>
          <w:szCs w:val="11"/>
        </w:rPr>
      </w:pPr>
    </w:p>
    <w:p w:rsidR="00066EE8" w:rsidRPr="00823AA1" w:rsidRDefault="00066EE8">
      <w:pPr>
        <w:spacing w:after="0" w:line="200" w:lineRule="exact"/>
        <w:rPr>
          <w:color w:val="595959" w:themeColor="text1" w:themeTint="A6"/>
          <w:sz w:val="20"/>
          <w:szCs w:val="20"/>
        </w:rPr>
      </w:pPr>
    </w:p>
    <w:p w:rsidR="00066EE8" w:rsidRPr="00823AA1" w:rsidRDefault="00066EE8">
      <w:pPr>
        <w:spacing w:after="0" w:line="200" w:lineRule="exact"/>
        <w:rPr>
          <w:color w:val="595959" w:themeColor="text1" w:themeTint="A6"/>
          <w:sz w:val="20"/>
          <w:szCs w:val="20"/>
        </w:rPr>
      </w:pPr>
    </w:p>
    <w:p w:rsidR="00066EE8" w:rsidRPr="00823AA1" w:rsidRDefault="00425E9A">
      <w:pPr>
        <w:spacing w:after="0" w:line="240" w:lineRule="auto"/>
        <w:ind w:left="3795" w:right="-20"/>
        <w:rPr>
          <w:rFonts w:ascii="Times New Roman" w:eastAsia="Times New Roman" w:hAnsi="Times New Roman" w:cs="Times New Roman"/>
          <w:color w:val="595959" w:themeColor="text1" w:themeTint="A6"/>
          <w:sz w:val="21"/>
          <w:szCs w:val="21"/>
        </w:rPr>
      </w:pPr>
      <w:r w:rsidRPr="00823AA1">
        <w:rPr>
          <w:rFonts w:ascii="Arial" w:eastAsia="Arial" w:hAnsi="Arial" w:cs="Arial"/>
          <w:color w:val="595959" w:themeColor="text1" w:themeTint="A6"/>
          <w:w w:val="97"/>
          <w:sz w:val="14"/>
          <w:szCs w:val="14"/>
        </w:rPr>
        <w:t>V</w:t>
      </w:r>
      <w:r w:rsidRPr="00823AA1">
        <w:rPr>
          <w:rFonts w:ascii="Arial" w:eastAsia="Arial" w:hAnsi="Arial" w:cs="Arial"/>
          <w:color w:val="595959" w:themeColor="text1" w:themeTint="A6"/>
          <w:spacing w:val="-17"/>
          <w:w w:val="98"/>
          <w:sz w:val="14"/>
          <w:szCs w:val="14"/>
        </w:rPr>
        <w:t>o</w:t>
      </w:r>
      <w:r w:rsidRPr="00823AA1">
        <w:rPr>
          <w:rFonts w:ascii="Arial" w:eastAsia="Arial" w:hAnsi="Arial" w:cs="Arial"/>
          <w:color w:val="595959" w:themeColor="text1" w:themeTint="A6"/>
          <w:w w:val="137"/>
          <w:sz w:val="14"/>
          <w:szCs w:val="14"/>
        </w:rPr>
        <w:t>l</w:t>
      </w:r>
      <w:r w:rsidRPr="00823AA1">
        <w:rPr>
          <w:rFonts w:ascii="Arial" w:eastAsia="Arial" w:hAnsi="Arial" w:cs="Arial"/>
          <w:color w:val="595959" w:themeColor="text1" w:themeTint="A6"/>
          <w:w w:val="136"/>
          <w:sz w:val="14"/>
          <w:szCs w:val="14"/>
        </w:rPr>
        <w:t>.</w:t>
      </w:r>
      <w:r w:rsidRPr="00823AA1">
        <w:rPr>
          <w:rFonts w:ascii="Arial" w:eastAsia="Arial" w:hAnsi="Arial" w:cs="Arial"/>
          <w:color w:val="595959" w:themeColor="text1" w:themeTint="A6"/>
          <w:spacing w:val="-7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125"/>
          <w:sz w:val="14"/>
          <w:szCs w:val="14"/>
        </w:rPr>
        <w:t>15,</w:t>
      </w:r>
      <w:r w:rsidRPr="00823AA1">
        <w:rPr>
          <w:rFonts w:ascii="Arial" w:eastAsia="Arial" w:hAnsi="Arial" w:cs="Arial"/>
          <w:color w:val="595959" w:themeColor="text1" w:themeTint="A6"/>
          <w:spacing w:val="-10"/>
          <w:w w:val="125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126"/>
          <w:sz w:val="14"/>
          <w:szCs w:val="14"/>
        </w:rPr>
        <w:t>No.</w:t>
      </w:r>
      <w:r w:rsidRPr="00823AA1">
        <w:rPr>
          <w:rFonts w:ascii="Arial" w:eastAsia="Arial" w:hAnsi="Arial" w:cs="Arial"/>
          <w:color w:val="595959" w:themeColor="text1" w:themeTint="A6"/>
          <w:spacing w:val="-3"/>
          <w:w w:val="127"/>
          <w:sz w:val="14"/>
          <w:szCs w:val="14"/>
        </w:rPr>
        <w:t>3</w:t>
      </w:r>
      <w:proofErr w:type="gramStart"/>
      <w:r w:rsidRPr="00823AA1">
        <w:rPr>
          <w:rFonts w:ascii="Arial" w:eastAsia="Arial" w:hAnsi="Arial" w:cs="Arial"/>
          <w:color w:val="595959" w:themeColor="text1" w:themeTint="A6"/>
          <w:spacing w:val="6"/>
          <w:w w:val="192"/>
          <w:sz w:val="14"/>
          <w:szCs w:val="14"/>
        </w:rPr>
        <w:t>,</w:t>
      </w:r>
      <w:r w:rsidRPr="00823AA1">
        <w:rPr>
          <w:rFonts w:ascii="Arial" w:eastAsia="Arial" w:hAnsi="Arial" w:cs="Arial"/>
          <w:color w:val="595959" w:themeColor="text1" w:themeTint="A6"/>
          <w:w w:val="103"/>
          <w:sz w:val="14"/>
          <w:szCs w:val="14"/>
        </w:rPr>
        <w:t>Octobe</w:t>
      </w:r>
      <w:r w:rsidRPr="00823AA1">
        <w:rPr>
          <w:rFonts w:ascii="Arial" w:eastAsia="Arial" w:hAnsi="Arial" w:cs="Arial"/>
          <w:color w:val="595959" w:themeColor="text1" w:themeTint="A6"/>
          <w:w w:val="104"/>
          <w:sz w:val="14"/>
          <w:szCs w:val="14"/>
        </w:rPr>
        <w:t>r</w:t>
      </w:r>
      <w:proofErr w:type="gramEnd"/>
      <w:r w:rsidRPr="00823AA1">
        <w:rPr>
          <w:rFonts w:ascii="Arial" w:eastAsia="Arial" w:hAnsi="Arial" w:cs="Arial"/>
          <w:color w:val="595959" w:themeColor="text1" w:themeTint="A6"/>
          <w:spacing w:val="-6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120"/>
          <w:sz w:val="14"/>
          <w:szCs w:val="14"/>
        </w:rPr>
        <w:t>2009</w:t>
      </w:r>
      <w:r w:rsidRPr="00823AA1">
        <w:rPr>
          <w:rFonts w:ascii="Arial" w:eastAsia="Arial" w:hAnsi="Arial" w:cs="Arial"/>
          <w:color w:val="595959" w:themeColor="text1" w:themeTint="A6"/>
          <w:spacing w:val="32"/>
          <w:w w:val="120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w w:val="247"/>
          <w:sz w:val="14"/>
          <w:szCs w:val="14"/>
        </w:rPr>
        <w:t>•</w:t>
      </w:r>
      <w:r w:rsidRPr="00823AA1">
        <w:rPr>
          <w:rFonts w:ascii="Arial" w:eastAsia="Arial" w:hAnsi="Arial" w:cs="Arial"/>
          <w:color w:val="595959" w:themeColor="text1" w:themeTint="A6"/>
          <w:spacing w:val="-29"/>
          <w:w w:val="247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sz w:val="14"/>
          <w:szCs w:val="14"/>
        </w:rPr>
        <w:t>MATHEMATICS</w:t>
      </w:r>
      <w:r w:rsidRPr="00823AA1">
        <w:rPr>
          <w:rFonts w:ascii="Arial" w:eastAsia="Arial" w:hAnsi="Arial" w:cs="Arial"/>
          <w:color w:val="595959" w:themeColor="text1" w:themeTint="A6"/>
          <w:spacing w:val="7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sz w:val="14"/>
          <w:szCs w:val="14"/>
        </w:rPr>
        <w:t>TEACHING</w:t>
      </w:r>
      <w:r w:rsidRPr="00823AA1">
        <w:rPr>
          <w:rFonts w:ascii="Arial" w:eastAsia="Arial" w:hAnsi="Arial" w:cs="Arial"/>
          <w:color w:val="595959" w:themeColor="text1" w:themeTint="A6"/>
          <w:spacing w:val="14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sz w:val="14"/>
          <w:szCs w:val="14"/>
        </w:rPr>
        <w:t>IN</w:t>
      </w:r>
      <w:r w:rsidRPr="00823AA1">
        <w:rPr>
          <w:rFonts w:ascii="Arial" w:eastAsia="Arial" w:hAnsi="Arial" w:cs="Arial"/>
          <w:color w:val="595959" w:themeColor="text1" w:themeTint="A6"/>
          <w:spacing w:val="22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sz w:val="14"/>
          <w:szCs w:val="14"/>
        </w:rPr>
        <w:t>THE</w:t>
      </w:r>
      <w:r w:rsidRPr="00823AA1">
        <w:rPr>
          <w:rFonts w:ascii="Arial" w:eastAsia="Arial" w:hAnsi="Arial" w:cs="Arial"/>
          <w:color w:val="595959" w:themeColor="text1" w:themeTint="A6"/>
          <w:spacing w:val="14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sz w:val="14"/>
          <w:szCs w:val="14"/>
        </w:rPr>
        <w:t>MIDDLE</w:t>
      </w:r>
      <w:r w:rsidRPr="00823AA1">
        <w:rPr>
          <w:rFonts w:ascii="Arial" w:eastAsia="Arial" w:hAnsi="Arial" w:cs="Arial"/>
          <w:color w:val="595959" w:themeColor="text1" w:themeTint="A6"/>
          <w:spacing w:val="29"/>
          <w:sz w:val="14"/>
          <w:szCs w:val="14"/>
        </w:rPr>
        <w:t xml:space="preserve"> </w:t>
      </w:r>
      <w:r w:rsidRPr="00823AA1">
        <w:rPr>
          <w:rFonts w:ascii="Arial" w:eastAsia="Arial" w:hAnsi="Arial" w:cs="Arial"/>
          <w:color w:val="595959" w:themeColor="text1" w:themeTint="A6"/>
          <w:sz w:val="14"/>
          <w:szCs w:val="14"/>
        </w:rPr>
        <w:t xml:space="preserve">SCHOOL  </w:t>
      </w:r>
      <w:r w:rsidRPr="00823AA1">
        <w:rPr>
          <w:rFonts w:ascii="Arial" w:eastAsia="Arial" w:hAnsi="Arial" w:cs="Arial"/>
          <w:color w:val="595959" w:themeColor="text1" w:themeTint="A6"/>
          <w:spacing w:val="25"/>
          <w:sz w:val="14"/>
          <w:szCs w:val="14"/>
        </w:rPr>
        <w:t xml:space="preserve"> </w:t>
      </w:r>
      <w:r w:rsidRPr="00823AA1">
        <w:rPr>
          <w:rFonts w:ascii="Times New Roman" w:eastAsia="Times New Roman" w:hAnsi="Times New Roman" w:cs="Times New Roman"/>
          <w:color w:val="595959" w:themeColor="text1" w:themeTint="A6"/>
          <w:w w:val="112"/>
          <w:sz w:val="21"/>
          <w:szCs w:val="21"/>
        </w:rPr>
        <w:t>173</w:t>
      </w:r>
    </w:p>
    <w:sectPr w:rsidR="00066EE8" w:rsidRPr="00823AA1">
      <w:type w:val="continuous"/>
      <w:pgSz w:w="12240" w:h="15840"/>
      <w:pgMar w:top="1080" w:right="1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53F3"/>
    <w:multiLevelType w:val="hybridMultilevel"/>
    <w:tmpl w:val="AA3A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0D68"/>
    <w:multiLevelType w:val="hybridMultilevel"/>
    <w:tmpl w:val="08085A9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D3B4AF9"/>
    <w:multiLevelType w:val="hybridMultilevel"/>
    <w:tmpl w:val="0764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469B8"/>
    <w:multiLevelType w:val="hybridMultilevel"/>
    <w:tmpl w:val="0F72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6EE8"/>
    <w:rsid w:val="00066EE8"/>
    <w:rsid w:val="00425E9A"/>
    <w:rsid w:val="00500E1E"/>
    <w:rsid w:val="00823AA1"/>
    <w:rsid w:val="00926D3F"/>
    <w:rsid w:val="00EE7A02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9CAAC0F4-F516-47EB-9313-FBA383C7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Levels of Cognitive Demand</vt:lpstr>
    </vt:vector>
  </TitlesOfParts>
  <Company>Grand Valley State University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Levels of Cognitive Demand</dc:title>
  <dc:creator>Nic</dc:creator>
  <cp:lastModifiedBy>Mary Ann Watters</cp:lastModifiedBy>
  <cp:revision>2</cp:revision>
  <cp:lastPrinted>2016-09-26T12:44:00Z</cp:lastPrinted>
  <dcterms:created xsi:type="dcterms:W3CDTF">2016-09-26T08:11:00Z</dcterms:created>
  <dcterms:modified xsi:type="dcterms:W3CDTF">2016-09-26T12:48:00Z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LastSaved">
    <vt:filetime>2016-09-26T00:00:00Z</vt:filetime>
  </property>
</Properties>
</file>