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3B" w:rsidRDefault="0061223B"/>
    <w:tbl>
      <w:tblPr>
        <w:tblStyle w:val="TableGrid"/>
        <w:tblW w:w="0" w:type="auto"/>
        <w:jc w:val="center"/>
        <w:tblLayout w:type="fixed"/>
        <w:tblLook w:val="04A0"/>
      </w:tblPr>
      <w:tblGrid>
        <w:gridCol w:w="2880"/>
        <w:gridCol w:w="2880"/>
        <w:gridCol w:w="2880"/>
        <w:gridCol w:w="2880"/>
        <w:gridCol w:w="2880"/>
      </w:tblGrid>
      <w:tr w:rsidR="00961B9F" w:rsidRPr="0061223B" w:rsidTr="00153505">
        <w:trPr>
          <w:jc w:val="center"/>
        </w:trPr>
        <w:tc>
          <w:tcPr>
            <w:tcW w:w="2880" w:type="dxa"/>
          </w:tcPr>
          <w:p w:rsidR="00961B9F" w:rsidRPr="0061223B" w:rsidRDefault="00961B9F" w:rsidP="00961B9F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Anticipating</w:t>
            </w:r>
          </w:p>
        </w:tc>
        <w:tc>
          <w:tcPr>
            <w:tcW w:w="2880" w:type="dxa"/>
          </w:tcPr>
          <w:p w:rsidR="00961B9F" w:rsidRPr="0061223B" w:rsidRDefault="00961B9F" w:rsidP="00961B9F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Monitoring</w:t>
            </w:r>
          </w:p>
        </w:tc>
        <w:tc>
          <w:tcPr>
            <w:tcW w:w="2880" w:type="dxa"/>
          </w:tcPr>
          <w:p w:rsidR="00961B9F" w:rsidRPr="0061223B" w:rsidRDefault="00961B9F" w:rsidP="00961B9F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Selecting</w:t>
            </w:r>
          </w:p>
        </w:tc>
        <w:tc>
          <w:tcPr>
            <w:tcW w:w="2880" w:type="dxa"/>
          </w:tcPr>
          <w:p w:rsidR="00961B9F" w:rsidRPr="0061223B" w:rsidRDefault="00961B9F" w:rsidP="00961B9F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Sequencing</w:t>
            </w:r>
          </w:p>
        </w:tc>
        <w:tc>
          <w:tcPr>
            <w:tcW w:w="2880" w:type="dxa"/>
          </w:tcPr>
          <w:p w:rsidR="00961B9F" w:rsidRPr="0061223B" w:rsidRDefault="00961B9F" w:rsidP="00961B9F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Connecting</w:t>
            </w:r>
          </w:p>
        </w:tc>
      </w:tr>
      <w:tr w:rsidR="00961B9F" w:rsidRPr="0061223B" w:rsidTr="00153505">
        <w:trPr>
          <w:jc w:val="center"/>
        </w:trPr>
        <w:tc>
          <w:tcPr>
            <w:tcW w:w="2880" w:type="dxa"/>
          </w:tcPr>
          <w:p w:rsidR="0061223B" w:rsidRPr="0061223B" w:rsidRDefault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E701D" w:rsidRDefault="00961B9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E701D">
              <w:rPr>
                <w:rFonts w:ascii="Segoe UI" w:hAnsi="Segoe UI" w:cs="Segoe UI"/>
                <w:b/>
                <w:sz w:val="20"/>
                <w:szCs w:val="20"/>
              </w:rPr>
              <w:t>Description:</w:t>
            </w:r>
          </w:p>
          <w:p w:rsidR="00660D0E" w:rsidRPr="0061223B" w:rsidRDefault="00660D0E" w:rsidP="00660D0E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Anticipating involves planning and preparing a task to use with students.</w:t>
            </w:r>
          </w:p>
          <w:p w:rsidR="00660D0E" w:rsidRPr="0061223B" w:rsidRDefault="00660D0E" w:rsidP="00660D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It is envisioning correct and incorrect student outcomes by using quality questions and differentiation.</w:t>
            </w:r>
          </w:p>
          <w:p w:rsidR="00961B9F" w:rsidRPr="0061223B" w:rsidRDefault="00961B9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E701D" w:rsidRDefault="00961B9F" w:rsidP="00872EA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E701D">
              <w:rPr>
                <w:rFonts w:ascii="Segoe UI" w:hAnsi="Segoe UI" w:cs="Segoe UI"/>
                <w:b/>
                <w:sz w:val="20"/>
                <w:szCs w:val="20"/>
              </w:rPr>
              <w:t>Description:</w:t>
            </w:r>
          </w:p>
          <w:p w:rsidR="00961B9F" w:rsidRPr="0061223B" w:rsidRDefault="00961B9F" w:rsidP="00961B9F">
            <w:pPr>
              <w:rPr>
                <w:rFonts w:ascii="Segoe UI" w:hAnsi="Segoe UI" w:cs="Segoe UI"/>
                <w:sz w:val="20"/>
                <w:szCs w:val="20"/>
              </w:rPr>
            </w:pPr>
            <w:r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Monitoring involves paying close attention to students’ mathematical thinking and solution strategies. Teachers listen, observe, interact and ask probing questions to gauge student understanding. </w:t>
            </w: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E701D" w:rsidRDefault="00961B9F" w:rsidP="00961B9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E701D">
              <w:rPr>
                <w:rFonts w:ascii="Segoe UI" w:hAnsi="Segoe UI" w:cs="Segoe UI"/>
                <w:b/>
                <w:sz w:val="20"/>
                <w:szCs w:val="20"/>
              </w:rPr>
              <w:t>Description:</w:t>
            </w:r>
          </w:p>
          <w:p w:rsidR="00961B9F" w:rsidRPr="0061223B" w:rsidRDefault="00961B9F" w:rsidP="00961B9F">
            <w:pPr>
              <w:rPr>
                <w:rFonts w:ascii="Segoe UI" w:hAnsi="Segoe UI" w:cs="Segoe UI"/>
                <w:sz w:val="20"/>
                <w:szCs w:val="20"/>
              </w:rPr>
            </w:pPr>
            <w:r w:rsidRPr="0061223B">
              <w:rPr>
                <w:rFonts w:ascii="Segoe UI" w:hAnsi="Segoe UI" w:cs="Segoe UI"/>
                <w:sz w:val="20"/>
                <w:szCs w:val="20"/>
              </w:rPr>
              <w:t xml:space="preserve">Teacher strategically chooses student work to facilitate discussion of common errors, misconceptions, and alternative strategies to deepen student understanding. </w:t>
            </w:r>
          </w:p>
          <w:p w:rsidR="00961B9F" w:rsidRPr="0061223B" w:rsidRDefault="00961B9F" w:rsidP="00961B9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E701D" w:rsidRDefault="00961B9F" w:rsidP="00961B9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E701D">
              <w:rPr>
                <w:rFonts w:ascii="Segoe UI" w:hAnsi="Segoe UI" w:cs="Segoe UI"/>
                <w:b/>
                <w:sz w:val="20"/>
                <w:szCs w:val="20"/>
              </w:rPr>
              <w:t>Description:</w:t>
            </w:r>
          </w:p>
          <w:p w:rsidR="00CB34CC" w:rsidRPr="0061223B" w:rsidRDefault="00CB34CC" w:rsidP="00CB34CC">
            <w:pPr>
              <w:rPr>
                <w:rFonts w:ascii="Segoe UI" w:hAnsi="Segoe UI" w:cs="Segoe UI"/>
                <w:sz w:val="20"/>
                <w:szCs w:val="20"/>
              </w:rPr>
            </w:pPr>
            <w:r w:rsidRPr="0061223B">
              <w:rPr>
                <w:rFonts w:ascii="Segoe UI" w:hAnsi="Segoe UI" w:cs="Segoe UI"/>
                <w:sz w:val="20"/>
                <w:szCs w:val="20"/>
              </w:rPr>
              <w:t>Sequencing is intentionally choosing an order of student generated solutions, strategies, and misconceptions to promote mathematical discussion and understanding.</w:t>
            </w:r>
          </w:p>
          <w:p w:rsidR="00961B9F" w:rsidRPr="0061223B" w:rsidRDefault="00961B9F" w:rsidP="00961B9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E701D" w:rsidRDefault="00961B9F" w:rsidP="00872EA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E701D">
              <w:rPr>
                <w:rFonts w:ascii="Segoe UI" w:hAnsi="Segoe UI" w:cs="Segoe UI"/>
                <w:b/>
                <w:sz w:val="20"/>
                <w:szCs w:val="20"/>
              </w:rPr>
              <w:t>Description:</w:t>
            </w:r>
          </w:p>
          <w:p w:rsidR="00961B9F" w:rsidRPr="0061223B" w:rsidRDefault="00961B9F" w:rsidP="00872EA7">
            <w:pPr>
              <w:rPr>
                <w:rFonts w:ascii="Segoe UI" w:hAnsi="Segoe UI" w:cs="Segoe UI"/>
                <w:sz w:val="20"/>
                <w:szCs w:val="20"/>
              </w:rPr>
            </w:pPr>
            <w:r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Connecting is discovering how math ideas relate to prior knowledge, to other students’ strategies and to practical situations.</w:t>
            </w:r>
          </w:p>
        </w:tc>
      </w:tr>
      <w:tr w:rsidR="00961B9F" w:rsidRPr="0061223B" w:rsidTr="00153505">
        <w:trPr>
          <w:jc w:val="center"/>
        </w:trPr>
        <w:tc>
          <w:tcPr>
            <w:tcW w:w="2880" w:type="dxa"/>
          </w:tcPr>
          <w:p w:rsidR="0061223B" w:rsidRDefault="0061223B" w:rsidP="0061223B">
            <w:pPr>
              <w:shd w:val="clear" w:color="auto" w:fill="FFFFFF"/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61223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0: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206A46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Students receive no clear objectives or direction.</w:t>
            </w:r>
            <w:r w:rsidR="0061223B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BC53F0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Teacher is unprepared for student questions</w:t>
            </w:r>
            <w:r w:rsidR="00872EA7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and </w:t>
            </w:r>
            <w:r w:rsidR="00BC53F0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stu</w:t>
            </w:r>
            <w:r w:rsidR="00872EA7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dent responses including errors</w:t>
            </w:r>
            <w:r w:rsidR="00BC53F0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misconceptions, and possible accommodations prior to the lesson.</w:t>
            </w:r>
          </w:p>
          <w:p w:rsidR="00206A46" w:rsidRPr="0061223B" w:rsidRDefault="00206A46" w:rsidP="00206A46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0: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Teacher is not monitoring the students</w:t>
            </w:r>
            <w:r w:rsidR="00CB34CC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by either taking physical or me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ntal notes.  Monitoring cannot take place if the physical setup of the classroom prevents quick accessibility to all students.  Teacher is unaware of student strategies and/or misconceptions.</w:t>
            </w: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0: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Teacher does not choose any student work or shows all students work without discrimination.</w:t>
            </w: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B44F04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0:</w:t>
            </w:r>
            <w:r w:rsidR="000711B8" w:rsidRPr="0061223B">
              <w:rPr>
                <w:sz w:val="20"/>
                <w:szCs w:val="20"/>
              </w:rPr>
              <w:t xml:space="preserve"> 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The teacher </w:t>
            </w:r>
            <w:r w:rsidR="00B44F04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lacks 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reason for order. The teacher presents without regard for strategies, solutions, misconceptions, or the learning objective.</w:t>
            </w:r>
          </w:p>
        </w:tc>
        <w:tc>
          <w:tcPr>
            <w:tcW w:w="2880" w:type="dxa"/>
          </w:tcPr>
          <w:p w:rsidR="0061223B" w:rsidRPr="0061223B" w:rsidRDefault="0061223B" w:rsidP="0061223B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0:</w:t>
            </w:r>
            <w:r w:rsidR="000711B8" w:rsidRPr="0061223B">
              <w:rPr>
                <w:sz w:val="20"/>
                <w:szCs w:val="20"/>
              </w:rPr>
              <w:t xml:space="preserve"> 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The teacher may show student w</w:t>
            </w:r>
            <w:r w:rsidR="00B44F04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ork but makes no connections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61B9F" w:rsidRPr="0061223B" w:rsidTr="005326F1">
        <w:trPr>
          <w:trHeight w:val="3303"/>
          <w:jc w:val="center"/>
        </w:trPr>
        <w:tc>
          <w:tcPr>
            <w:tcW w:w="2880" w:type="dxa"/>
          </w:tcPr>
          <w:p w:rsidR="006E701D" w:rsidRPr="0061223B" w:rsidRDefault="006E701D" w:rsidP="006E701D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1: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Teacher gives minimal directions with little considerati</w:t>
            </w:r>
            <w:r w:rsidR="00206A46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on of misconceptions and 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no order of events.  Teacher does not anticipate student questions and has n</w:t>
            </w:r>
            <w:r w:rsidR="00206A46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o accommodations ahead of time. Teacher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shows </w:t>
            </w:r>
            <w:r w:rsidR="00206A46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only 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one approach to problem solving that targets only part of the objective.</w:t>
            </w:r>
          </w:p>
        </w:tc>
        <w:tc>
          <w:tcPr>
            <w:tcW w:w="2880" w:type="dxa"/>
          </w:tcPr>
          <w:p w:rsidR="006E701D" w:rsidRPr="0061223B" w:rsidRDefault="006E701D" w:rsidP="006E701D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BC53F0" w:rsidRPr="0061223B" w:rsidRDefault="00961B9F" w:rsidP="006E701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1:</w:t>
            </w:r>
            <w:r w:rsidR="00BC53F0" w:rsidRPr="0061223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A5A06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Teacher focuses on a limited area of the room</w:t>
            </w:r>
            <w:r w:rsidR="00BC53F0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or a select few students.</w:t>
            </w:r>
          </w:p>
          <w:p w:rsidR="00961B9F" w:rsidRPr="0061223B" w:rsidRDefault="005A5A06" w:rsidP="00BC53F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Teacher lacks intention/purpose/focus/meth</w:t>
            </w:r>
            <w:r w:rsidR="00BC53F0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ods for collecting information from students.</w:t>
            </w:r>
          </w:p>
        </w:tc>
        <w:tc>
          <w:tcPr>
            <w:tcW w:w="2880" w:type="dxa"/>
          </w:tcPr>
          <w:p w:rsidR="006E701D" w:rsidRPr="0061223B" w:rsidRDefault="006E701D" w:rsidP="006E701D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0711B8" w:rsidRPr="0061223B" w:rsidRDefault="00961B9F" w:rsidP="000711B8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1:</w:t>
            </w:r>
            <w:r w:rsidR="000711B8" w:rsidRPr="0061223B">
              <w:rPr>
                <w:sz w:val="20"/>
                <w:szCs w:val="20"/>
              </w:rPr>
              <w:t xml:space="preserve"> </w:t>
            </w:r>
            <w:r w:rsidR="00B44F04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Teacher makes choices that</w:t>
            </w:r>
            <w:r w:rsidR="000711B8"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may be random and/or unintentional.  The samples do not address lesson objectives.</w:t>
            </w: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E701D" w:rsidRPr="0061223B" w:rsidRDefault="006E701D" w:rsidP="006E701D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1:</w:t>
            </w:r>
            <w:r w:rsidR="000711B8" w:rsidRPr="0061223B">
              <w:rPr>
                <w:sz w:val="20"/>
                <w:szCs w:val="20"/>
              </w:rPr>
              <w:t xml:space="preserve"> 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Student answers are shown, with little </w:t>
            </w:r>
            <w:r w:rsidR="0061223B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thought </w:t>
            </w:r>
            <w:r w:rsidR="00B44F04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give</w:t>
            </w:r>
            <w:r w:rsidR="00111CE4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="00B44F04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to the order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. Some choices are made that do not achieve their mathematical goal.</w:t>
            </w: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E701D" w:rsidRPr="0061223B" w:rsidRDefault="006E701D" w:rsidP="006E701D">
            <w:pPr>
              <w:rPr>
                <w:rFonts w:ascii="Segoe UI" w:hAnsi="Segoe UI" w:cs="Segoe UI"/>
                <w:sz w:val="10"/>
                <w:szCs w:val="10"/>
              </w:rPr>
            </w:pP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1:</w:t>
            </w:r>
            <w:r w:rsidR="000711B8" w:rsidRPr="0061223B">
              <w:rPr>
                <w:sz w:val="20"/>
                <w:szCs w:val="20"/>
              </w:rPr>
              <w:t xml:space="preserve"> </w:t>
            </w:r>
            <w:r w:rsidR="000711B8"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The teacher presents student work and makes connections with minimal student input.</w:t>
            </w:r>
          </w:p>
          <w:p w:rsidR="00961B9F" w:rsidRPr="0061223B" w:rsidRDefault="00961B9F" w:rsidP="00872EA7">
            <w:pPr>
              <w:rPr>
                <w:sz w:val="20"/>
                <w:szCs w:val="20"/>
              </w:rPr>
            </w:pPr>
          </w:p>
        </w:tc>
      </w:tr>
    </w:tbl>
    <w:p w:rsidR="00AC3AEC" w:rsidRDefault="00AC3AEC">
      <w:pPr>
        <w:rPr>
          <w:sz w:val="20"/>
          <w:szCs w:val="20"/>
        </w:rPr>
      </w:pPr>
    </w:p>
    <w:p w:rsidR="006E701D" w:rsidRDefault="006E701D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880"/>
        <w:gridCol w:w="2880"/>
        <w:gridCol w:w="2880"/>
        <w:gridCol w:w="2880"/>
        <w:gridCol w:w="2880"/>
      </w:tblGrid>
      <w:tr w:rsidR="006E701D" w:rsidRPr="0061223B" w:rsidTr="004573BB">
        <w:trPr>
          <w:jc w:val="center"/>
        </w:trPr>
        <w:tc>
          <w:tcPr>
            <w:tcW w:w="2880" w:type="dxa"/>
          </w:tcPr>
          <w:p w:rsidR="006E701D" w:rsidRPr="0061223B" w:rsidRDefault="006E701D" w:rsidP="004573BB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Anticipating</w:t>
            </w:r>
          </w:p>
        </w:tc>
        <w:tc>
          <w:tcPr>
            <w:tcW w:w="2880" w:type="dxa"/>
          </w:tcPr>
          <w:p w:rsidR="006E701D" w:rsidRPr="0061223B" w:rsidRDefault="006E701D" w:rsidP="004573BB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Monitoring</w:t>
            </w:r>
          </w:p>
        </w:tc>
        <w:tc>
          <w:tcPr>
            <w:tcW w:w="2880" w:type="dxa"/>
          </w:tcPr>
          <w:p w:rsidR="006E701D" w:rsidRPr="0061223B" w:rsidRDefault="006E701D" w:rsidP="004573BB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Selecting</w:t>
            </w:r>
          </w:p>
        </w:tc>
        <w:tc>
          <w:tcPr>
            <w:tcW w:w="2880" w:type="dxa"/>
          </w:tcPr>
          <w:p w:rsidR="006E701D" w:rsidRPr="0061223B" w:rsidRDefault="006E701D" w:rsidP="004573BB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Sequencing</w:t>
            </w:r>
          </w:p>
        </w:tc>
        <w:tc>
          <w:tcPr>
            <w:tcW w:w="2880" w:type="dxa"/>
          </w:tcPr>
          <w:p w:rsidR="006E701D" w:rsidRPr="0061223B" w:rsidRDefault="006E701D" w:rsidP="004573BB">
            <w:pPr>
              <w:jc w:val="center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61223B">
              <w:rPr>
                <w:rFonts w:ascii="Segoe UI" w:hAnsi="Segoe UI" w:cs="Segoe UI"/>
                <w:b/>
                <w:i/>
                <w:sz w:val="24"/>
                <w:szCs w:val="24"/>
              </w:rPr>
              <w:t>Connecting</w:t>
            </w:r>
          </w:p>
        </w:tc>
      </w:tr>
      <w:tr w:rsidR="006E701D" w:rsidRPr="0061223B" w:rsidTr="004573BB">
        <w:trPr>
          <w:jc w:val="center"/>
        </w:trPr>
        <w:tc>
          <w:tcPr>
            <w:tcW w:w="2880" w:type="dxa"/>
          </w:tcPr>
          <w:p w:rsidR="006E701D" w:rsidRPr="006E701D" w:rsidRDefault="006E701D" w:rsidP="004573BB">
            <w:pPr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2:</w:t>
            </w:r>
            <w:r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The teacher is prepared to present the lesson but has not identified all sol</w:t>
            </w:r>
            <w:r w:rsidR="00557742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ution paths or misconceptions.  </w:t>
            </w:r>
            <w:r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Student discussions are present but may be off task.</w:t>
            </w:r>
          </w:p>
        </w:tc>
        <w:tc>
          <w:tcPr>
            <w:tcW w:w="2880" w:type="dxa"/>
          </w:tcPr>
          <w:p w:rsidR="00557742" w:rsidRPr="006E701D" w:rsidRDefault="00557742" w:rsidP="00557742">
            <w:pPr>
              <w:shd w:val="clear" w:color="auto" w:fill="FFFFFF"/>
              <w:rPr>
                <w:sz w:val="10"/>
                <w:szCs w:val="10"/>
              </w:rPr>
            </w:pPr>
          </w:p>
          <w:p w:rsidR="006E701D" w:rsidRPr="005326F1" w:rsidRDefault="005326F1" w:rsidP="005326F1">
            <w:pPr>
              <w:numPr>
                <w:ilvl w:val="0"/>
                <w:numId w:val="2"/>
              </w:numPr>
              <w:shd w:val="clear" w:color="auto" w:fill="FFFFFF"/>
              <w:ind w:left="0" w:hanging="357"/>
              <w:rPr>
                <w:rFonts w:ascii="Segoe UI" w:eastAsia="Times New Roman" w:hAnsi="Segoe UI" w:cs="Segoe UI"/>
                <w:color w:val="000000"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6E701D" w:rsidRPr="005326F1">
              <w:rPr>
                <w:b/>
                <w:sz w:val="20"/>
                <w:szCs w:val="20"/>
              </w:rPr>
              <w:t>evel 2:</w:t>
            </w:r>
            <w:r w:rsidR="006E701D" w:rsidRPr="005326F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6E701D" w:rsidRPr="005326F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Teacher engages with most students, questioning their mathematical thinking, but identifies only a </w:t>
            </w:r>
            <w:r w:rsidR="00557742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few strategies and </w:t>
            </w:r>
            <w:r w:rsidR="006E701D" w:rsidRPr="005326F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misconceptions.</w:t>
            </w:r>
            <w:r w:rsidRPr="005326F1">
              <w:rPr>
                <w:rFonts w:ascii="Segoe UI" w:eastAsia="Times New Roman" w:hAnsi="Segoe UI" w:cs="Segoe UI"/>
                <w:color w:val="000000"/>
                <w:sz w:val="10"/>
                <w:szCs w:val="10"/>
              </w:rPr>
              <w:t xml:space="preserve">  </w:t>
            </w:r>
            <w:r w:rsidR="006E701D" w:rsidRPr="005326F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Students engage somewhat but are limited in their reasoning and justification.</w:t>
            </w:r>
          </w:p>
          <w:p w:rsidR="005326F1" w:rsidRPr="005326F1" w:rsidRDefault="005326F1" w:rsidP="005326F1">
            <w:pPr>
              <w:shd w:val="clear" w:color="auto" w:fill="FFFFFF"/>
              <w:ind w:left="-11"/>
              <w:rPr>
                <w:rFonts w:ascii="Segoe UI" w:eastAsia="Times New Roman" w:hAnsi="Segoe UI" w:cs="Segoe UI"/>
                <w:color w:val="000000"/>
                <w:sz w:val="10"/>
                <w:szCs w:val="10"/>
              </w:rPr>
            </w:pPr>
          </w:p>
        </w:tc>
        <w:tc>
          <w:tcPr>
            <w:tcW w:w="2880" w:type="dxa"/>
          </w:tcPr>
          <w:p w:rsidR="006E701D" w:rsidRPr="006E701D" w:rsidRDefault="006E701D" w:rsidP="004573BB">
            <w:pPr>
              <w:shd w:val="clear" w:color="auto" w:fill="FFFFFF"/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2:</w:t>
            </w:r>
            <w:r w:rsidRPr="0061223B">
              <w:rPr>
                <w:sz w:val="20"/>
                <w:szCs w:val="20"/>
              </w:rPr>
              <w:t xml:space="preserve"> </w:t>
            </w: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The teacher intentionally chooses student work that addresses lesson objective(s) but lacks variety or common misconceptions.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E701D" w:rsidRPr="006E701D" w:rsidRDefault="006E701D" w:rsidP="004573BB">
            <w:pPr>
              <w:shd w:val="clear" w:color="auto" w:fill="FFFFFF"/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2:</w:t>
            </w:r>
            <w:r w:rsidRPr="0061223B">
              <w:rPr>
                <w:sz w:val="20"/>
                <w:szCs w:val="20"/>
              </w:rPr>
              <w:t xml:space="preserve"> </w:t>
            </w: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Teacher presents student work in some sort of order that leads toward an objective.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E701D" w:rsidRPr="006E701D" w:rsidRDefault="006E701D" w:rsidP="004573BB">
            <w:pPr>
              <w:shd w:val="clear" w:color="auto" w:fill="FFFFFF"/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2:</w:t>
            </w:r>
            <w:r w:rsidRPr="0061223B">
              <w:rPr>
                <w:sz w:val="20"/>
                <w:szCs w:val="20"/>
              </w:rPr>
              <w:t xml:space="preserve"> </w:t>
            </w: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The teacher facilitates discussions where some connections are made.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</w:tr>
      <w:tr w:rsidR="006E701D" w:rsidRPr="0061223B" w:rsidTr="004573BB">
        <w:trPr>
          <w:jc w:val="center"/>
        </w:trPr>
        <w:tc>
          <w:tcPr>
            <w:tcW w:w="2880" w:type="dxa"/>
          </w:tcPr>
          <w:p w:rsidR="006E701D" w:rsidRPr="006E701D" w:rsidRDefault="006E701D" w:rsidP="004573BB">
            <w:pPr>
              <w:shd w:val="clear" w:color="auto" w:fill="FFFFFF"/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3:</w:t>
            </w:r>
            <w:r w:rsidRPr="0061223B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The teacher</w:t>
            </w: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prepares thoughtfully, with consideration of how to present the lesson, while anticipating and addressing common mistakes before they occur.  Well-organized or predetermined groups show evidence of student interaction.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326F1" w:rsidRPr="005326F1" w:rsidRDefault="005326F1" w:rsidP="005326F1">
            <w:pPr>
              <w:shd w:val="clear" w:color="auto" w:fill="FFFFFF"/>
              <w:rPr>
                <w:b/>
                <w:sz w:val="10"/>
                <w:szCs w:val="10"/>
              </w:rPr>
            </w:pPr>
          </w:p>
          <w:p w:rsidR="006E701D" w:rsidRPr="005326F1" w:rsidRDefault="005326F1" w:rsidP="005326F1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6E701D" w:rsidRPr="005326F1">
              <w:rPr>
                <w:b/>
                <w:sz w:val="20"/>
                <w:szCs w:val="20"/>
              </w:rPr>
              <w:t>evel 3:</w:t>
            </w:r>
            <w:r w:rsidR="006E701D" w:rsidRPr="005326F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6E701D" w:rsidRPr="005326F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Teacher engages all students, using questions to identify student strategies and common errors.</w:t>
            </w:r>
          </w:p>
        </w:tc>
        <w:tc>
          <w:tcPr>
            <w:tcW w:w="2880" w:type="dxa"/>
          </w:tcPr>
          <w:p w:rsidR="006E701D" w:rsidRPr="006E701D" w:rsidRDefault="006E701D" w:rsidP="004573BB">
            <w:pPr>
              <w:shd w:val="clear" w:color="auto" w:fill="FFFFFF"/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3:</w:t>
            </w:r>
            <w:r w:rsidRPr="0061223B">
              <w:rPr>
                <w:sz w:val="20"/>
                <w:szCs w:val="20"/>
              </w:rPr>
              <w:t xml:space="preserve"> </w:t>
            </w:r>
            <w:r w:rsidRPr="0061223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The teacher intentionally chooses samples of student work that show a variety of strategies, including a sampling of common misconceptions that address the lesson objective(s).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E701D" w:rsidRPr="006E701D" w:rsidRDefault="006E701D" w:rsidP="004573BB">
            <w:pPr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3:</w:t>
            </w:r>
            <w:r w:rsidRPr="0061223B">
              <w:rPr>
                <w:sz w:val="20"/>
                <w:szCs w:val="20"/>
              </w:rPr>
              <w:t xml:space="preserve"> </w:t>
            </w:r>
            <w:r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Teacher presents student work in a meaningful order that contributes to the mastery of the learning objective, and which leads to effective student input and discussion.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6E701D" w:rsidRPr="006E701D" w:rsidRDefault="006E701D" w:rsidP="004573BB">
            <w:pPr>
              <w:rPr>
                <w:sz w:val="10"/>
                <w:szCs w:val="10"/>
              </w:rPr>
            </w:pP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  <w:r w:rsidRPr="006E701D">
              <w:rPr>
                <w:b/>
                <w:sz w:val="20"/>
                <w:szCs w:val="20"/>
              </w:rPr>
              <w:t>Level 3:</w:t>
            </w:r>
            <w:r w:rsidRPr="0061223B">
              <w:rPr>
                <w:sz w:val="20"/>
                <w:szCs w:val="20"/>
              </w:rPr>
              <w:t xml:space="preserve"> </w:t>
            </w:r>
            <w:r w:rsidRPr="0061223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The teacher allows for student discussions that make connections while intervening to enable students to achieve the predetermined outcome.</w:t>
            </w:r>
          </w:p>
          <w:p w:rsidR="006E701D" w:rsidRPr="0061223B" w:rsidRDefault="006E701D" w:rsidP="004573BB">
            <w:pPr>
              <w:rPr>
                <w:sz w:val="20"/>
                <w:szCs w:val="20"/>
              </w:rPr>
            </w:pPr>
          </w:p>
        </w:tc>
      </w:tr>
    </w:tbl>
    <w:p w:rsidR="006E701D" w:rsidRPr="0061223B" w:rsidRDefault="006E701D">
      <w:pPr>
        <w:rPr>
          <w:sz w:val="20"/>
          <w:szCs w:val="20"/>
        </w:rPr>
      </w:pPr>
    </w:p>
    <w:sectPr w:rsidR="006E701D" w:rsidRPr="0061223B" w:rsidSect="00CB34CC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05" w:rsidRDefault="00470C05" w:rsidP="00961B9F">
      <w:pPr>
        <w:spacing w:after="0" w:line="240" w:lineRule="auto"/>
      </w:pPr>
      <w:r>
        <w:separator/>
      </w:r>
    </w:p>
  </w:endnote>
  <w:endnote w:type="continuationSeparator" w:id="0">
    <w:p w:rsidR="00470C05" w:rsidRDefault="00470C05" w:rsidP="0096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05" w:rsidRDefault="00470C05" w:rsidP="00961B9F">
      <w:pPr>
        <w:spacing w:after="0" w:line="240" w:lineRule="auto"/>
      </w:pPr>
      <w:r>
        <w:separator/>
      </w:r>
    </w:p>
  </w:footnote>
  <w:footnote w:type="continuationSeparator" w:id="0">
    <w:p w:rsidR="00470C05" w:rsidRDefault="00470C05" w:rsidP="0096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06" w:rsidRPr="00961B9F" w:rsidRDefault="005A5A06" w:rsidP="00961B9F">
    <w:pPr>
      <w:pStyle w:val="Header"/>
      <w:jc w:val="center"/>
      <w:rPr>
        <w:rFonts w:ascii="Segoe UI" w:hAnsi="Segoe UI" w:cs="Segoe UI"/>
        <w:b/>
        <w:sz w:val="36"/>
        <w:szCs w:val="32"/>
      </w:rPr>
    </w:pPr>
    <w:r w:rsidRPr="00961B9F">
      <w:rPr>
        <w:rFonts w:ascii="Segoe UI" w:hAnsi="Segoe UI" w:cs="Segoe UI"/>
        <w:b/>
        <w:sz w:val="36"/>
        <w:szCs w:val="32"/>
      </w:rPr>
      <w:t>The 5 Practices Rubric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0C6D"/>
    <w:multiLevelType w:val="multilevel"/>
    <w:tmpl w:val="D19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D267AE"/>
    <w:multiLevelType w:val="multilevel"/>
    <w:tmpl w:val="A50E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D63A51"/>
    <w:multiLevelType w:val="multilevel"/>
    <w:tmpl w:val="E940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C7A1A"/>
    <w:multiLevelType w:val="multilevel"/>
    <w:tmpl w:val="A4A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61B9F"/>
    <w:rsid w:val="000711B8"/>
    <w:rsid w:val="00111CE4"/>
    <w:rsid w:val="00153505"/>
    <w:rsid w:val="00206A46"/>
    <w:rsid w:val="00343C1F"/>
    <w:rsid w:val="003930D4"/>
    <w:rsid w:val="004158EA"/>
    <w:rsid w:val="00470C05"/>
    <w:rsid w:val="005326F1"/>
    <w:rsid w:val="00557742"/>
    <w:rsid w:val="005657AE"/>
    <w:rsid w:val="005A5A06"/>
    <w:rsid w:val="005C3BAD"/>
    <w:rsid w:val="0061223B"/>
    <w:rsid w:val="00660D0E"/>
    <w:rsid w:val="006E701D"/>
    <w:rsid w:val="007339A6"/>
    <w:rsid w:val="007E64EC"/>
    <w:rsid w:val="00872EA7"/>
    <w:rsid w:val="00961B9F"/>
    <w:rsid w:val="009952D3"/>
    <w:rsid w:val="00AC3AEC"/>
    <w:rsid w:val="00AC685C"/>
    <w:rsid w:val="00B26AA1"/>
    <w:rsid w:val="00B44F04"/>
    <w:rsid w:val="00B93B64"/>
    <w:rsid w:val="00BC53F0"/>
    <w:rsid w:val="00CB34CC"/>
    <w:rsid w:val="00D2292B"/>
    <w:rsid w:val="00EF37A1"/>
    <w:rsid w:val="00F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9F"/>
  </w:style>
  <w:style w:type="paragraph" w:styleId="Footer">
    <w:name w:val="footer"/>
    <w:basedOn w:val="Normal"/>
    <w:link w:val="FooterChar"/>
    <w:uiPriority w:val="99"/>
    <w:semiHidden/>
    <w:unhideWhenUsed/>
    <w:rsid w:val="0096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B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9F"/>
  </w:style>
  <w:style w:type="paragraph" w:styleId="Footer">
    <w:name w:val="footer"/>
    <w:basedOn w:val="Normal"/>
    <w:link w:val="FooterChar"/>
    <w:uiPriority w:val="99"/>
    <w:semiHidden/>
    <w:unhideWhenUsed/>
    <w:rsid w:val="0096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Handyside</dc:creator>
  <cp:lastModifiedBy>Lisa Handyside</cp:lastModifiedBy>
  <cp:revision>4</cp:revision>
  <cp:lastPrinted>2015-04-28T03:17:00Z</cp:lastPrinted>
  <dcterms:created xsi:type="dcterms:W3CDTF">2015-04-28T02:50:00Z</dcterms:created>
  <dcterms:modified xsi:type="dcterms:W3CDTF">2015-04-28T03:28:00Z</dcterms:modified>
</cp:coreProperties>
</file>