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F3" w:rsidRDefault="00176EF3" w:rsidP="00176EF3">
      <w:pPr>
        <w:spacing w:after="0" w:line="240" w:lineRule="auto"/>
        <w:jc w:val="center"/>
        <w:rPr>
          <w:rFonts w:ascii="Times New Roman" w:hAnsi="Times New Roman" w:cs="Times New Roman"/>
          <w:b/>
          <w:sz w:val="72"/>
          <w:szCs w:val="72"/>
        </w:rPr>
      </w:pPr>
      <w:r>
        <w:rPr>
          <w:rFonts w:ascii="Times New Roman" w:hAnsi="Times New Roman" w:cs="Times New Roman"/>
          <w:b/>
          <w:noProof/>
          <w:sz w:val="72"/>
          <w:szCs w:val="72"/>
        </w:rPr>
        <w:drawing>
          <wp:inline distT="0" distB="0" distL="0" distR="0" wp14:anchorId="75DAE49D" wp14:editId="6981558A">
            <wp:extent cx="284734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340" cy="1895475"/>
                    </a:xfrm>
                    <a:prstGeom prst="rect">
                      <a:avLst/>
                    </a:prstGeom>
                    <a:noFill/>
                  </pic:spPr>
                </pic:pic>
              </a:graphicData>
            </a:graphic>
          </wp:inline>
        </w:drawing>
      </w:r>
    </w:p>
    <w:p w:rsidR="00176EF3" w:rsidRDefault="00176EF3" w:rsidP="00176EF3">
      <w:pPr>
        <w:spacing w:after="0" w:line="240" w:lineRule="auto"/>
        <w:rPr>
          <w:rFonts w:ascii="Times New Roman" w:hAnsi="Times New Roman" w:cs="Times New Roman"/>
          <w:b/>
          <w:sz w:val="72"/>
          <w:szCs w:val="72"/>
        </w:rPr>
      </w:pPr>
    </w:p>
    <w:p w:rsidR="00176EF3" w:rsidRPr="006902E7" w:rsidRDefault="00176EF3" w:rsidP="00176EF3">
      <w:pPr>
        <w:widowControl w:val="0"/>
        <w:spacing w:after="100" w:line="240" w:lineRule="auto"/>
        <w:jc w:val="center"/>
        <w:rPr>
          <w:rFonts w:ascii="High Tower Text" w:eastAsia="Times New Roman" w:hAnsi="High Tower Text" w:cs="Times New Roman"/>
          <w:b/>
          <w:bCs/>
          <w:color w:val="000000"/>
          <w:kern w:val="28"/>
          <w:sz w:val="96"/>
          <w:szCs w:val="96"/>
        </w:rPr>
      </w:pPr>
      <w:r w:rsidRPr="006902E7">
        <w:rPr>
          <w:rFonts w:ascii="High Tower Text" w:eastAsia="Times New Roman" w:hAnsi="High Tower Text" w:cs="Times New Roman"/>
          <w:b/>
          <w:bCs/>
          <w:color w:val="000000"/>
          <w:kern w:val="28"/>
          <w:sz w:val="96"/>
          <w:szCs w:val="96"/>
        </w:rPr>
        <w:t>DPT Research Day</w:t>
      </w:r>
    </w:p>
    <w:p w:rsidR="00176EF3" w:rsidRPr="006902E7" w:rsidRDefault="00176EF3" w:rsidP="00176EF3">
      <w:pPr>
        <w:widowControl w:val="0"/>
        <w:spacing w:after="100" w:line="240" w:lineRule="auto"/>
        <w:jc w:val="center"/>
        <w:rPr>
          <w:rFonts w:ascii="High Tower Text" w:eastAsia="Times New Roman" w:hAnsi="High Tower Text" w:cs="Times New Roman"/>
          <w:b/>
          <w:bCs/>
          <w:color w:val="000000"/>
          <w:kern w:val="28"/>
          <w:sz w:val="44"/>
          <w:szCs w:val="44"/>
        </w:rPr>
      </w:pPr>
      <w:r>
        <w:rPr>
          <w:rFonts w:ascii="High Tower Text" w:eastAsia="Times New Roman" w:hAnsi="High Tower Text" w:cs="Times New Roman"/>
          <w:b/>
          <w:bCs/>
          <w:color w:val="000000"/>
          <w:kern w:val="28"/>
          <w:sz w:val="44"/>
          <w:szCs w:val="44"/>
        </w:rPr>
        <w:t>Class of 2016</w:t>
      </w:r>
    </w:p>
    <w:p w:rsidR="008B54BC" w:rsidRDefault="00176EF3" w:rsidP="00176EF3">
      <w:pPr>
        <w:spacing w:after="100" w:line="240" w:lineRule="auto"/>
        <w:jc w:val="center"/>
        <w:rPr>
          <w:rFonts w:ascii="Garamond" w:eastAsia="Times New Roman" w:hAnsi="Garamond" w:cs="Times New Roman"/>
          <w:color w:val="000000"/>
          <w:kern w:val="28"/>
          <w:sz w:val="56"/>
          <w:szCs w:val="56"/>
        </w:rPr>
      </w:pPr>
      <w:r w:rsidRPr="006902E7">
        <w:rPr>
          <w:rFonts w:ascii="Garamond" w:eastAsia="Times New Roman" w:hAnsi="Garamond" w:cs="Times New Roman"/>
          <w:color w:val="000000"/>
          <w:kern w:val="28"/>
          <w:sz w:val="56"/>
          <w:szCs w:val="56"/>
        </w:rPr>
        <w:t xml:space="preserve">Abstracts for Poster and </w:t>
      </w:r>
    </w:p>
    <w:p w:rsidR="00176EF3" w:rsidRPr="006902E7" w:rsidRDefault="00176EF3" w:rsidP="00176EF3">
      <w:pPr>
        <w:spacing w:after="100" w:line="240" w:lineRule="auto"/>
        <w:jc w:val="center"/>
        <w:rPr>
          <w:rFonts w:ascii="Garamond" w:eastAsia="Times New Roman" w:hAnsi="Garamond" w:cs="Times New Roman"/>
          <w:color w:val="000000"/>
          <w:kern w:val="28"/>
          <w:sz w:val="56"/>
          <w:szCs w:val="56"/>
        </w:rPr>
      </w:pPr>
      <w:bookmarkStart w:id="0" w:name="_GoBack"/>
      <w:bookmarkEnd w:id="0"/>
      <w:r w:rsidRPr="006902E7">
        <w:rPr>
          <w:rFonts w:ascii="Garamond" w:eastAsia="Times New Roman" w:hAnsi="Garamond" w:cs="Times New Roman"/>
          <w:color w:val="000000"/>
          <w:kern w:val="28"/>
          <w:sz w:val="56"/>
          <w:szCs w:val="56"/>
        </w:rPr>
        <w:t>Platform Presentations</w:t>
      </w:r>
    </w:p>
    <w:p w:rsidR="00176EF3" w:rsidRDefault="00176EF3" w:rsidP="00176EF3">
      <w:pPr>
        <w:spacing w:after="0" w:line="240" w:lineRule="auto"/>
        <w:rPr>
          <w:rFonts w:ascii="Times New Roman" w:hAnsi="Times New Roman" w:cs="Times New Roman"/>
          <w:b/>
          <w:sz w:val="72"/>
          <w:szCs w:val="72"/>
        </w:rPr>
      </w:pPr>
    </w:p>
    <w:p w:rsidR="00176EF3" w:rsidRPr="006902E7" w:rsidRDefault="00176EF3" w:rsidP="00176EF3">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Pr>
          <w:rFonts w:ascii="High Tower Text" w:eastAsia="Times New Roman" w:hAnsi="High Tower Text" w:cs="Times New Roman"/>
          <w:b/>
          <w:bCs/>
          <w:color w:val="000000"/>
          <w:kern w:val="28"/>
          <w:sz w:val="28"/>
          <w:szCs w:val="28"/>
        </w:rPr>
        <w:t>Friday, July 22, 2016</w:t>
      </w:r>
    </w:p>
    <w:p w:rsidR="00176EF3" w:rsidRPr="006902E7" w:rsidRDefault="00176EF3" w:rsidP="00176EF3">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Pr>
          <w:rFonts w:ascii="High Tower Text" w:eastAsia="Times New Roman" w:hAnsi="High Tower Text" w:cs="Times New Roman"/>
          <w:b/>
          <w:bCs/>
          <w:color w:val="000000"/>
          <w:kern w:val="28"/>
          <w:sz w:val="28"/>
          <w:szCs w:val="28"/>
        </w:rPr>
        <w:t>8:30– 3:15</w:t>
      </w:r>
      <w:r w:rsidRPr="006902E7">
        <w:rPr>
          <w:rFonts w:ascii="High Tower Text" w:eastAsia="Times New Roman" w:hAnsi="High Tower Text" w:cs="Times New Roman"/>
          <w:b/>
          <w:bCs/>
          <w:color w:val="000000"/>
          <w:kern w:val="28"/>
          <w:sz w:val="28"/>
          <w:szCs w:val="28"/>
        </w:rPr>
        <w:t xml:space="preserve"> PM</w:t>
      </w:r>
    </w:p>
    <w:p w:rsidR="00176EF3" w:rsidRPr="006902E7" w:rsidRDefault="00176EF3" w:rsidP="00176EF3">
      <w:pPr>
        <w:widowControl w:val="0"/>
        <w:spacing w:after="100" w:line="240" w:lineRule="auto"/>
        <w:jc w:val="center"/>
        <w:outlineLvl w:val="3"/>
        <w:rPr>
          <w:rFonts w:ascii="High Tower Text" w:eastAsia="Times New Roman" w:hAnsi="High Tower Text" w:cs="Times New Roman"/>
          <w:b/>
          <w:bCs/>
          <w:color w:val="000000"/>
          <w:kern w:val="28"/>
          <w:sz w:val="28"/>
          <w:szCs w:val="28"/>
        </w:rPr>
      </w:pPr>
      <w:proofErr w:type="spellStart"/>
      <w:r w:rsidRPr="006902E7">
        <w:rPr>
          <w:rFonts w:ascii="High Tower Text" w:eastAsia="Times New Roman" w:hAnsi="High Tower Text" w:cs="Times New Roman"/>
          <w:b/>
          <w:bCs/>
          <w:color w:val="000000"/>
          <w:kern w:val="28"/>
          <w:sz w:val="28"/>
          <w:szCs w:val="28"/>
        </w:rPr>
        <w:t>Loosemore</w:t>
      </w:r>
      <w:proofErr w:type="spellEnd"/>
      <w:r w:rsidRPr="006902E7">
        <w:rPr>
          <w:rFonts w:ascii="High Tower Text" w:eastAsia="Times New Roman" w:hAnsi="High Tower Text" w:cs="Times New Roman"/>
          <w:b/>
          <w:bCs/>
          <w:color w:val="000000"/>
          <w:kern w:val="28"/>
          <w:sz w:val="28"/>
          <w:szCs w:val="28"/>
        </w:rPr>
        <w:t xml:space="preserve"> Auditorium</w:t>
      </w:r>
    </w:p>
    <w:p w:rsidR="00176EF3" w:rsidRPr="006902E7" w:rsidRDefault="00176EF3" w:rsidP="00176EF3">
      <w:pPr>
        <w:widowControl w:val="0"/>
        <w:spacing w:after="100" w:line="240" w:lineRule="auto"/>
        <w:jc w:val="center"/>
        <w:outlineLvl w:val="3"/>
        <w:rPr>
          <w:rFonts w:ascii="High Tower Text" w:eastAsia="Times New Roman" w:hAnsi="High Tower Text" w:cs="Times New Roman"/>
          <w:b/>
          <w:bCs/>
          <w:color w:val="000000"/>
          <w:kern w:val="28"/>
          <w:sz w:val="28"/>
          <w:szCs w:val="28"/>
        </w:rPr>
      </w:pPr>
      <w:proofErr w:type="spellStart"/>
      <w:r w:rsidRPr="006902E7">
        <w:rPr>
          <w:rFonts w:ascii="High Tower Text" w:eastAsia="Times New Roman" w:hAnsi="High Tower Text" w:cs="Times New Roman"/>
          <w:b/>
          <w:bCs/>
          <w:color w:val="000000"/>
          <w:kern w:val="28"/>
          <w:sz w:val="28"/>
          <w:szCs w:val="28"/>
        </w:rPr>
        <w:t>DeVos</w:t>
      </w:r>
      <w:proofErr w:type="spellEnd"/>
      <w:r w:rsidRPr="006902E7">
        <w:rPr>
          <w:rFonts w:ascii="High Tower Text" w:eastAsia="Times New Roman" w:hAnsi="High Tower Text" w:cs="Times New Roman"/>
          <w:b/>
          <w:bCs/>
          <w:color w:val="000000"/>
          <w:kern w:val="28"/>
          <w:sz w:val="28"/>
          <w:szCs w:val="28"/>
        </w:rPr>
        <w:t xml:space="preserve"> Campus</w:t>
      </w:r>
    </w:p>
    <w:p w:rsidR="00176EF3" w:rsidRPr="006902E7" w:rsidRDefault="00176EF3" w:rsidP="00176EF3">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6902E7">
        <w:rPr>
          <w:rFonts w:ascii="High Tower Text" w:eastAsia="Times New Roman" w:hAnsi="High Tower Text" w:cs="Times New Roman"/>
          <w:b/>
          <w:bCs/>
          <w:color w:val="000000"/>
          <w:kern w:val="28"/>
          <w:sz w:val="28"/>
          <w:szCs w:val="28"/>
        </w:rPr>
        <w:t>Grand Rapids, MI</w:t>
      </w:r>
    </w:p>
    <w:p w:rsidR="007B465C" w:rsidRDefault="007B465C" w:rsidP="00765EA5">
      <w:pPr>
        <w:spacing w:after="0" w:line="240" w:lineRule="auto"/>
        <w:rPr>
          <w:rFonts w:ascii="Times New Roman" w:hAnsi="Times New Roman" w:cs="Times New Roman"/>
          <w:sz w:val="72"/>
          <w:szCs w:val="72"/>
        </w:rPr>
      </w:pPr>
    </w:p>
    <w:p w:rsidR="008E2A65" w:rsidRDefault="008E2A65" w:rsidP="00765EA5">
      <w:pPr>
        <w:spacing w:after="0" w:line="240" w:lineRule="auto"/>
        <w:rPr>
          <w:rFonts w:ascii="Times New Roman" w:hAnsi="Times New Roman" w:cs="Times New Roman"/>
          <w:sz w:val="72"/>
          <w:szCs w:val="72"/>
        </w:rPr>
      </w:pPr>
    </w:p>
    <w:p w:rsidR="008E2A65" w:rsidRDefault="008E2A65" w:rsidP="00765EA5">
      <w:pPr>
        <w:spacing w:after="0" w:line="240" w:lineRule="auto"/>
        <w:rPr>
          <w:rFonts w:ascii="Times New Roman" w:hAnsi="Times New Roman" w:cs="Times New Roman"/>
          <w:sz w:val="72"/>
          <w:szCs w:val="72"/>
        </w:rPr>
      </w:pPr>
    </w:p>
    <w:p w:rsidR="008E2A65" w:rsidRDefault="008E2A65" w:rsidP="00765EA5">
      <w:pPr>
        <w:spacing w:after="0" w:line="240" w:lineRule="auto"/>
        <w:rPr>
          <w:rFonts w:ascii="Times New Roman" w:hAnsi="Times New Roman" w:cs="Times New Roman"/>
          <w:sz w:val="72"/>
          <w:szCs w:val="72"/>
        </w:rPr>
      </w:pPr>
    </w:p>
    <w:p w:rsidR="008E2A65" w:rsidRDefault="008E2A65" w:rsidP="00765EA5">
      <w:pPr>
        <w:spacing w:after="0" w:line="240" w:lineRule="auto"/>
        <w:rPr>
          <w:rFonts w:ascii="Times New Roman" w:hAnsi="Times New Roman" w:cs="Times New Roman"/>
          <w:sz w:val="72"/>
          <w:szCs w:val="72"/>
        </w:rPr>
      </w:pPr>
    </w:p>
    <w:p w:rsidR="00176EF3" w:rsidRDefault="00176EF3" w:rsidP="00765EA5">
      <w:pPr>
        <w:spacing w:after="0" w:line="240" w:lineRule="auto"/>
        <w:jc w:val="center"/>
        <w:rPr>
          <w:rFonts w:ascii="Times New Roman" w:hAnsi="Times New Roman" w:cs="Times New Roman"/>
          <w:sz w:val="72"/>
          <w:szCs w:val="72"/>
        </w:rPr>
      </w:pPr>
    </w:p>
    <w:p w:rsidR="00176EF3" w:rsidRDefault="00176EF3" w:rsidP="00765EA5">
      <w:pPr>
        <w:spacing w:after="0" w:line="240" w:lineRule="auto"/>
        <w:jc w:val="center"/>
        <w:rPr>
          <w:rFonts w:ascii="Times New Roman" w:hAnsi="Times New Roman" w:cs="Times New Roman"/>
          <w:sz w:val="72"/>
          <w:szCs w:val="72"/>
        </w:rPr>
      </w:pPr>
    </w:p>
    <w:p w:rsidR="00176EF3" w:rsidRDefault="00176EF3" w:rsidP="00765EA5">
      <w:pPr>
        <w:spacing w:after="0" w:line="240" w:lineRule="auto"/>
        <w:jc w:val="center"/>
        <w:rPr>
          <w:rFonts w:ascii="Times New Roman" w:hAnsi="Times New Roman" w:cs="Times New Roman"/>
          <w:sz w:val="72"/>
          <w:szCs w:val="72"/>
        </w:rPr>
      </w:pPr>
    </w:p>
    <w:p w:rsidR="008E2A65" w:rsidRDefault="008E2A65" w:rsidP="00765EA5">
      <w:pPr>
        <w:spacing w:after="0" w:line="240" w:lineRule="auto"/>
        <w:jc w:val="center"/>
        <w:rPr>
          <w:rFonts w:ascii="Times New Roman" w:hAnsi="Times New Roman" w:cs="Times New Roman"/>
          <w:sz w:val="72"/>
          <w:szCs w:val="72"/>
        </w:rPr>
      </w:pPr>
      <w:r w:rsidRPr="008E2A65">
        <w:rPr>
          <w:rFonts w:ascii="Times New Roman" w:hAnsi="Times New Roman" w:cs="Times New Roman"/>
          <w:sz w:val="72"/>
          <w:szCs w:val="72"/>
        </w:rPr>
        <w:t>Platform Presentations</w:t>
      </w:r>
    </w:p>
    <w:p w:rsidR="00765EA5" w:rsidRDefault="00765EA5" w:rsidP="00765EA5">
      <w:pPr>
        <w:spacing w:after="0" w:line="240" w:lineRule="auto"/>
        <w:jc w:val="center"/>
        <w:rPr>
          <w:rFonts w:ascii="Times New Roman" w:hAnsi="Times New Roman" w:cs="Times New Roman"/>
          <w:sz w:val="72"/>
          <w:szCs w:val="72"/>
        </w:rPr>
      </w:pPr>
    </w:p>
    <w:p w:rsidR="00765EA5" w:rsidRDefault="00765EA5" w:rsidP="00765EA5">
      <w:pPr>
        <w:spacing w:after="0" w:line="240" w:lineRule="auto"/>
        <w:jc w:val="center"/>
        <w:rPr>
          <w:rFonts w:ascii="Times New Roman" w:hAnsi="Times New Roman" w:cs="Times New Roman"/>
          <w:sz w:val="72"/>
          <w:szCs w:val="72"/>
        </w:rPr>
      </w:pPr>
    </w:p>
    <w:p w:rsidR="00765EA5" w:rsidRDefault="00765EA5" w:rsidP="00765EA5">
      <w:pPr>
        <w:spacing w:after="0" w:line="240" w:lineRule="auto"/>
        <w:jc w:val="center"/>
        <w:rPr>
          <w:rFonts w:ascii="Times New Roman" w:hAnsi="Times New Roman" w:cs="Times New Roman"/>
          <w:sz w:val="72"/>
          <w:szCs w:val="72"/>
        </w:rPr>
      </w:pPr>
    </w:p>
    <w:p w:rsidR="00765EA5" w:rsidRDefault="00765EA5" w:rsidP="00765EA5">
      <w:pPr>
        <w:spacing w:after="0" w:line="240" w:lineRule="auto"/>
        <w:jc w:val="center"/>
        <w:rPr>
          <w:rFonts w:ascii="Times New Roman" w:hAnsi="Times New Roman" w:cs="Times New Roman"/>
          <w:sz w:val="72"/>
          <w:szCs w:val="72"/>
        </w:rPr>
      </w:pPr>
    </w:p>
    <w:p w:rsidR="00765EA5" w:rsidRDefault="00765EA5" w:rsidP="00765EA5">
      <w:pPr>
        <w:spacing w:after="0" w:line="240" w:lineRule="auto"/>
        <w:jc w:val="center"/>
        <w:rPr>
          <w:rFonts w:ascii="Times New Roman" w:hAnsi="Times New Roman" w:cs="Times New Roman"/>
          <w:sz w:val="72"/>
          <w:szCs w:val="72"/>
        </w:rPr>
      </w:pPr>
    </w:p>
    <w:p w:rsidR="00765EA5" w:rsidRDefault="00765EA5" w:rsidP="00765EA5">
      <w:pPr>
        <w:spacing w:after="0" w:line="240" w:lineRule="auto"/>
        <w:jc w:val="center"/>
        <w:rPr>
          <w:rFonts w:ascii="Times New Roman" w:hAnsi="Times New Roman" w:cs="Times New Roman"/>
          <w:sz w:val="72"/>
          <w:szCs w:val="72"/>
        </w:rPr>
      </w:pPr>
    </w:p>
    <w:p w:rsidR="00765EA5" w:rsidRDefault="00765EA5" w:rsidP="00765EA5">
      <w:pPr>
        <w:spacing w:after="0" w:line="240" w:lineRule="auto"/>
        <w:jc w:val="center"/>
        <w:rPr>
          <w:rFonts w:ascii="Times New Roman" w:hAnsi="Times New Roman" w:cs="Times New Roman"/>
          <w:sz w:val="72"/>
          <w:szCs w:val="72"/>
        </w:rPr>
      </w:pPr>
    </w:p>
    <w:p w:rsidR="00765EA5" w:rsidRDefault="00765EA5" w:rsidP="00765EA5">
      <w:pPr>
        <w:spacing w:after="0" w:line="240" w:lineRule="auto"/>
        <w:jc w:val="center"/>
        <w:rPr>
          <w:rFonts w:ascii="Times New Roman" w:hAnsi="Times New Roman" w:cs="Times New Roman"/>
          <w:sz w:val="72"/>
          <w:szCs w:val="72"/>
        </w:rPr>
      </w:pPr>
    </w:p>
    <w:p w:rsidR="005A0B0F" w:rsidRDefault="005A0B0F" w:rsidP="00DF075B">
      <w:pPr>
        <w:spacing w:after="0" w:line="240" w:lineRule="auto"/>
        <w:rPr>
          <w:rFonts w:ascii="Times New Roman" w:hAnsi="Times New Roman" w:cs="Times New Roman"/>
          <w:sz w:val="72"/>
          <w:szCs w:val="72"/>
        </w:rPr>
      </w:pPr>
    </w:p>
    <w:p w:rsidR="005A0B0F" w:rsidRDefault="005A0B0F" w:rsidP="00DF075B">
      <w:pPr>
        <w:spacing w:after="0" w:line="240" w:lineRule="auto"/>
        <w:rPr>
          <w:rFonts w:ascii="Times New Roman" w:eastAsia="Calibri" w:hAnsi="Times New Roman" w:cs="Times New Roman"/>
          <w:sz w:val="24"/>
          <w:szCs w:val="24"/>
        </w:rPr>
      </w:pPr>
    </w:p>
    <w:p w:rsidR="00966660" w:rsidRPr="00966660" w:rsidRDefault="00966660" w:rsidP="00966660">
      <w:pPr>
        <w:spacing w:after="0" w:line="240" w:lineRule="auto"/>
        <w:rPr>
          <w:rFonts w:ascii="Times New Roman" w:eastAsia="Calibri" w:hAnsi="Times New Roman" w:cs="Times New Roman"/>
          <w:sz w:val="24"/>
          <w:szCs w:val="24"/>
        </w:rPr>
      </w:pPr>
      <w:r w:rsidRPr="00966660">
        <w:rPr>
          <w:rFonts w:ascii="Times New Roman" w:eastAsia="Calibri" w:hAnsi="Times New Roman" w:cs="Times New Roman"/>
          <w:b/>
          <w:sz w:val="24"/>
          <w:szCs w:val="24"/>
        </w:rPr>
        <w:lastRenderedPageBreak/>
        <w:t>EXERCISE- AND PSYCHOSOCIAL-BASED INTERVENTIONS TO IMPROVE DAILY ACTIVITY IN HEART FAILURE.</w:t>
      </w:r>
      <w:r w:rsidRPr="00966660">
        <w:rPr>
          <w:rFonts w:ascii="Times New Roman" w:eastAsia="Calibri" w:hAnsi="Times New Roman" w:cs="Times New Roman"/>
          <w:sz w:val="24"/>
          <w:szCs w:val="24"/>
        </w:rPr>
        <w:t xml:space="preserve"> Bowen T, Jongekrijg L, Oberholtzer N, Shoemaker M; Grand Valley State University, Grand Rapids, MI.</w:t>
      </w:r>
    </w:p>
    <w:p w:rsidR="00966660" w:rsidRPr="00966660" w:rsidRDefault="00966660" w:rsidP="00966660">
      <w:pPr>
        <w:spacing w:after="0" w:line="240" w:lineRule="auto"/>
        <w:rPr>
          <w:rFonts w:ascii="Times New Roman" w:eastAsia="Calibri" w:hAnsi="Times New Roman" w:cs="Times New Roman"/>
          <w:sz w:val="24"/>
          <w:szCs w:val="24"/>
        </w:rPr>
      </w:pPr>
    </w:p>
    <w:p w:rsidR="00966660" w:rsidRPr="00966660" w:rsidRDefault="00966660" w:rsidP="00966660">
      <w:pPr>
        <w:spacing w:after="0" w:line="240" w:lineRule="auto"/>
        <w:rPr>
          <w:rFonts w:ascii="Times New Roman" w:eastAsia="Calibri" w:hAnsi="Times New Roman" w:cs="Times New Roman"/>
          <w:sz w:val="24"/>
          <w:szCs w:val="24"/>
        </w:rPr>
      </w:pPr>
      <w:r w:rsidRPr="00966660">
        <w:rPr>
          <w:rFonts w:ascii="Times New Roman" w:eastAsia="Calibri" w:hAnsi="Times New Roman" w:cs="Times New Roman"/>
          <w:b/>
          <w:sz w:val="24"/>
          <w:szCs w:val="24"/>
        </w:rPr>
        <w:t>INTRODUCTION:</w:t>
      </w:r>
      <w:r w:rsidRPr="00966660">
        <w:rPr>
          <w:rFonts w:ascii="Times New Roman" w:eastAsia="Calibri" w:hAnsi="Times New Roman" w:cs="Times New Roman"/>
          <w:sz w:val="24"/>
          <w:szCs w:val="24"/>
        </w:rPr>
        <w:t xml:space="preserve"> In individuals with heart failure (HF), low daily activity is associated with a poorer prognosis.  Previous interventions seeking to increase daily activity in patients with HF have been largely unsuccessful, a fact that may be attributed to insufficient consideration for the psychosocial factors contributing to inactivity.  The purpose of this study was to investigate the effects on HF-related outcomes using two different interventions with psychosocial components. </w:t>
      </w:r>
    </w:p>
    <w:p w:rsidR="00966660" w:rsidRPr="00966660" w:rsidRDefault="00966660" w:rsidP="00966660">
      <w:pPr>
        <w:spacing w:after="0" w:line="240" w:lineRule="auto"/>
        <w:rPr>
          <w:rFonts w:ascii="Times New Roman" w:eastAsia="Calibri" w:hAnsi="Times New Roman" w:cs="Times New Roman"/>
          <w:sz w:val="24"/>
          <w:szCs w:val="24"/>
        </w:rPr>
      </w:pPr>
      <w:r w:rsidRPr="00966660">
        <w:rPr>
          <w:rFonts w:ascii="Times New Roman" w:eastAsia="Calibri" w:hAnsi="Times New Roman" w:cs="Times New Roman"/>
          <w:b/>
          <w:sz w:val="24"/>
          <w:szCs w:val="24"/>
        </w:rPr>
        <w:t>METHODS:</w:t>
      </w:r>
      <w:r w:rsidRPr="00966660">
        <w:rPr>
          <w:rFonts w:ascii="Times New Roman" w:eastAsia="Calibri" w:hAnsi="Times New Roman" w:cs="Times New Roman"/>
          <w:sz w:val="24"/>
          <w:szCs w:val="24"/>
        </w:rPr>
        <w:t xml:space="preserve"> This is a preliminary analysis</w:t>
      </w:r>
      <w:r w:rsidR="001B3510">
        <w:rPr>
          <w:rFonts w:ascii="Times New Roman" w:eastAsia="Calibri" w:hAnsi="Times New Roman" w:cs="Times New Roman"/>
          <w:sz w:val="24"/>
          <w:szCs w:val="24"/>
        </w:rPr>
        <w:t xml:space="preserve"> of the </w:t>
      </w:r>
      <w:r w:rsidRPr="00966660">
        <w:rPr>
          <w:rFonts w:ascii="Times New Roman" w:eastAsia="Calibri" w:hAnsi="Times New Roman" w:cs="Times New Roman"/>
          <w:sz w:val="24"/>
          <w:szCs w:val="24"/>
        </w:rPr>
        <w:t>subjects completing the first three months</w:t>
      </w:r>
      <w:r w:rsidR="001B3510">
        <w:rPr>
          <w:rFonts w:ascii="Times New Roman" w:eastAsia="Calibri" w:hAnsi="Times New Roman" w:cs="Times New Roman"/>
          <w:sz w:val="24"/>
          <w:szCs w:val="24"/>
        </w:rPr>
        <w:t xml:space="preserve"> of a single-blind, randomized-</w:t>
      </w:r>
      <w:r w:rsidRPr="00966660">
        <w:rPr>
          <w:rFonts w:ascii="Times New Roman" w:eastAsia="Calibri" w:hAnsi="Times New Roman" w:cs="Times New Roman"/>
          <w:sz w:val="24"/>
          <w:szCs w:val="24"/>
        </w:rPr>
        <w:t>controlled trial to measure daily activity in patients with HF and implanted Medtronic implantable cardioverter defibrillator and cardiac resynchronization (ICD/CRT)</w:t>
      </w:r>
      <w:r w:rsidR="001B3510">
        <w:rPr>
          <w:rFonts w:ascii="Times New Roman" w:eastAsia="Calibri" w:hAnsi="Times New Roman" w:cs="Times New Roman"/>
          <w:sz w:val="24"/>
          <w:szCs w:val="24"/>
        </w:rPr>
        <w:t xml:space="preserve"> devices.  Sixteen </w:t>
      </w:r>
      <w:r w:rsidRPr="00966660">
        <w:rPr>
          <w:rFonts w:ascii="Times New Roman" w:eastAsia="Calibri" w:hAnsi="Times New Roman" w:cs="Times New Roman"/>
          <w:sz w:val="24"/>
          <w:szCs w:val="24"/>
        </w:rPr>
        <w:t xml:space="preserve">subjects with HF and ICD/CRT devices participated in the study.  The subjects were stratified by age and baseline activity level before being randomized to either a control group (n=4), a daily activity feedback group with encouragement (n=6), or a health coaching group with an individualized home exercise program (n=6).  The outcomes evaluated included daily activity, exercise tolerance, HF-related health status, and lower extremity functional strength.  Differences between groups for baseline demographics were analyzed using the </w:t>
      </w:r>
      <w:proofErr w:type="spellStart"/>
      <w:r w:rsidRPr="00966660">
        <w:rPr>
          <w:rFonts w:ascii="Times New Roman" w:eastAsia="Calibri" w:hAnsi="Times New Roman" w:cs="Times New Roman"/>
          <w:sz w:val="24"/>
          <w:szCs w:val="24"/>
        </w:rPr>
        <w:t>Kruskal</w:t>
      </w:r>
      <w:proofErr w:type="spellEnd"/>
      <w:r w:rsidRPr="00966660">
        <w:rPr>
          <w:rFonts w:ascii="Times New Roman" w:eastAsia="Calibri" w:hAnsi="Times New Roman" w:cs="Times New Roman"/>
          <w:sz w:val="24"/>
          <w:szCs w:val="24"/>
        </w:rPr>
        <w:t xml:space="preserve">-Wallis one-way analysis of variance by ranks for continuous variables and chi square analysis for categorical variables.  The </w:t>
      </w:r>
      <w:proofErr w:type="spellStart"/>
      <w:r w:rsidRPr="00966660">
        <w:rPr>
          <w:rFonts w:ascii="Times New Roman" w:eastAsia="Calibri" w:hAnsi="Times New Roman" w:cs="Times New Roman"/>
          <w:sz w:val="24"/>
          <w:szCs w:val="24"/>
        </w:rPr>
        <w:t>Kruskal</w:t>
      </w:r>
      <w:proofErr w:type="spellEnd"/>
      <w:r w:rsidRPr="00966660">
        <w:rPr>
          <w:rFonts w:ascii="Times New Roman" w:eastAsia="Calibri" w:hAnsi="Times New Roman" w:cs="Times New Roman"/>
          <w:sz w:val="24"/>
          <w:szCs w:val="24"/>
        </w:rPr>
        <w:t xml:space="preserve">-Wallis one-way analysis of variance by ranks was used to examine between-group differences in change values for each of the aforementioned continuous variables, and the Wilcoxon signed-rank test was used to examine change within groups from baseline to </w:t>
      </w:r>
      <w:r w:rsidR="001B3510">
        <w:rPr>
          <w:rFonts w:ascii="Times New Roman" w:eastAsia="Calibri" w:hAnsi="Times New Roman" w:cs="Times New Roman"/>
          <w:sz w:val="24"/>
          <w:szCs w:val="24"/>
        </w:rPr>
        <w:t xml:space="preserve">the </w:t>
      </w:r>
      <w:r w:rsidRPr="00966660">
        <w:rPr>
          <w:rFonts w:ascii="Times New Roman" w:eastAsia="Calibri" w:hAnsi="Times New Roman" w:cs="Times New Roman"/>
          <w:sz w:val="24"/>
          <w:szCs w:val="24"/>
        </w:rPr>
        <w:t>3-month follow-up period.  Signific</w:t>
      </w:r>
      <w:r w:rsidR="001B3510">
        <w:rPr>
          <w:rFonts w:ascii="Times New Roman" w:eastAsia="Calibri" w:hAnsi="Times New Roman" w:cs="Times New Roman"/>
          <w:sz w:val="24"/>
          <w:szCs w:val="24"/>
        </w:rPr>
        <w:t xml:space="preserve">ance for all tests was set at </w:t>
      </w:r>
      <w:r w:rsidRPr="00966660">
        <w:rPr>
          <w:rFonts w:ascii="Times New Roman" w:eastAsia="Calibri" w:hAnsi="Times New Roman" w:cs="Times New Roman"/>
          <w:sz w:val="24"/>
          <w:szCs w:val="24"/>
        </w:rPr>
        <w:t>p</w:t>
      </w:r>
      <w:r w:rsidR="001B3510">
        <w:rPr>
          <w:rFonts w:ascii="Times New Roman" w:eastAsia="Calibri" w:hAnsi="Times New Roman" w:cs="Times New Roman"/>
          <w:sz w:val="24"/>
          <w:szCs w:val="24"/>
        </w:rPr>
        <w:t xml:space="preserve"> </w:t>
      </w:r>
      <w:r w:rsidRPr="00966660">
        <w:rPr>
          <w:rFonts w:ascii="Times New Roman" w:eastAsia="Calibri" w:hAnsi="Times New Roman" w:cs="Times New Roman"/>
          <w:sz w:val="24"/>
          <w:szCs w:val="24"/>
        </w:rPr>
        <w:t>≤</w:t>
      </w:r>
      <w:r w:rsidR="001B3510">
        <w:rPr>
          <w:rFonts w:ascii="Times New Roman" w:eastAsia="Calibri" w:hAnsi="Times New Roman" w:cs="Times New Roman"/>
          <w:sz w:val="24"/>
          <w:szCs w:val="24"/>
        </w:rPr>
        <w:t xml:space="preserve"> </w:t>
      </w:r>
      <w:r w:rsidRPr="00966660">
        <w:rPr>
          <w:rFonts w:ascii="Times New Roman" w:eastAsia="Calibri" w:hAnsi="Times New Roman" w:cs="Times New Roman"/>
          <w:sz w:val="24"/>
          <w:szCs w:val="24"/>
        </w:rPr>
        <w:t xml:space="preserve">0.05.  </w:t>
      </w:r>
      <w:r w:rsidRPr="00966660">
        <w:rPr>
          <w:rFonts w:ascii="Times New Roman" w:eastAsia="Calibri" w:hAnsi="Times New Roman" w:cs="Times New Roman"/>
          <w:b/>
          <w:sz w:val="24"/>
          <w:szCs w:val="24"/>
        </w:rPr>
        <w:t>RESULTS:</w:t>
      </w:r>
      <w:r w:rsidRPr="00966660">
        <w:rPr>
          <w:rFonts w:ascii="Times New Roman" w:eastAsia="Calibri" w:hAnsi="Times New Roman" w:cs="Times New Roman"/>
          <w:sz w:val="24"/>
          <w:szCs w:val="24"/>
        </w:rPr>
        <w:t xml:space="preserve"> In the preliminary analysis, there were no significant differences in primary or secondary outcome measures either between or within groups.  Several individuals responded positively to intervention, but this was not found to be associated with treatment group.  </w:t>
      </w:r>
      <w:r w:rsidRPr="00966660">
        <w:rPr>
          <w:rFonts w:ascii="Times New Roman" w:eastAsia="Calibri" w:hAnsi="Times New Roman" w:cs="Times New Roman"/>
          <w:b/>
          <w:sz w:val="24"/>
          <w:szCs w:val="24"/>
        </w:rPr>
        <w:t>DISCUSSION:</w:t>
      </w:r>
      <w:r w:rsidRPr="00966660">
        <w:rPr>
          <w:rFonts w:ascii="Times New Roman" w:eastAsia="Calibri" w:hAnsi="Times New Roman" w:cs="Times New Roman"/>
          <w:sz w:val="24"/>
          <w:szCs w:val="24"/>
        </w:rPr>
        <w:t xml:space="preserve"> This study sought to examine </w:t>
      </w:r>
      <w:r w:rsidR="001B3510">
        <w:rPr>
          <w:rFonts w:ascii="Times New Roman" w:eastAsia="Calibri" w:hAnsi="Times New Roman" w:cs="Times New Roman"/>
          <w:sz w:val="24"/>
          <w:szCs w:val="24"/>
        </w:rPr>
        <w:t xml:space="preserve">the </w:t>
      </w:r>
      <w:r w:rsidRPr="00966660">
        <w:rPr>
          <w:rFonts w:ascii="Times New Roman" w:eastAsia="Calibri" w:hAnsi="Times New Roman" w:cs="Times New Roman"/>
          <w:sz w:val="24"/>
          <w:szCs w:val="24"/>
        </w:rPr>
        <w:t>effects of two interventions with psychosocial components on daily activity in individuals</w:t>
      </w:r>
      <w:r w:rsidR="001B3510">
        <w:rPr>
          <w:rFonts w:ascii="Times New Roman" w:eastAsia="Calibri" w:hAnsi="Times New Roman" w:cs="Times New Roman"/>
          <w:sz w:val="24"/>
          <w:szCs w:val="24"/>
        </w:rPr>
        <w:t xml:space="preserve"> with HF and ICD/CRT devices.  Alt</w:t>
      </w:r>
      <w:r w:rsidRPr="00966660">
        <w:rPr>
          <w:rFonts w:ascii="Times New Roman" w:eastAsia="Calibri" w:hAnsi="Times New Roman" w:cs="Times New Roman"/>
          <w:sz w:val="24"/>
          <w:szCs w:val="24"/>
        </w:rPr>
        <w:t>hough daily activity was not significantly improved for any of the treatment groups, the researchers identified confounding factors that may have led to that result.  These factors include</w:t>
      </w:r>
      <w:r w:rsidR="001B3510">
        <w:rPr>
          <w:rFonts w:ascii="Times New Roman" w:eastAsia="Calibri" w:hAnsi="Times New Roman" w:cs="Times New Roman"/>
          <w:sz w:val="24"/>
          <w:szCs w:val="24"/>
        </w:rPr>
        <w:t>d</w:t>
      </w:r>
      <w:r w:rsidRPr="00966660">
        <w:rPr>
          <w:rFonts w:ascii="Times New Roman" w:eastAsia="Calibri" w:hAnsi="Times New Roman" w:cs="Times New Roman"/>
          <w:sz w:val="24"/>
          <w:szCs w:val="24"/>
        </w:rPr>
        <w:t xml:space="preserve"> fear of ICD discharge, magnitude of inactivity, the exercise protocol, seasonal change in daily activity, and readiness for behavioral change.  The researchers propose that the subjects’ readiness for change is an important factor to address in order to improve daily activity. </w:t>
      </w:r>
    </w:p>
    <w:p w:rsidR="00966660" w:rsidRPr="00966660" w:rsidRDefault="00966660" w:rsidP="00966660">
      <w:pPr>
        <w:spacing w:after="0" w:line="240" w:lineRule="auto"/>
        <w:rPr>
          <w:rFonts w:ascii="Times New Roman" w:eastAsia="Calibri" w:hAnsi="Times New Roman" w:cs="Times New Roman"/>
          <w:sz w:val="24"/>
          <w:szCs w:val="24"/>
        </w:rPr>
      </w:pPr>
      <w:r w:rsidRPr="00966660">
        <w:rPr>
          <w:rFonts w:ascii="Times New Roman" w:eastAsia="Calibri" w:hAnsi="Times New Roman" w:cs="Times New Roman"/>
          <w:b/>
          <w:sz w:val="24"/>
          <w:szCs w:val="24"/>
        </w:rPr>
        <w:t>CONCLUSIONS:</w:t>
      </w:r>
      <w:r w:rsidRPr="00966660">
        <w:rPr>
          <w:rFonts w:ascii="Times New Roman" w:eastAsia="Calibri" w:hAnsi="Times New Roman" w:cs="Times New Roman"/>
          <w:sz w:val="24"/>
          <w:szCs w:val="24"/>
        </w:rPr>
        <w:t xml:space="preserve"> Daily activity in those </w:t>
      </w:r>
      <w:r w:rsidR="001B3510">
        <w:rPr>
          <w:rFonts w:ascii="Times New Roman" w:eastAsia="Calibri" w:hAnsi="Times New Roman" w:cs="Times New Roman"/>
          <w:sz w:val="24"/>
          <w:szCs w:val="24"/>
        </w:rPr>
        <w:t xml:space="preserve">individuals </w:t>
      </w:r>
      <w:r w:rsidRPr="00966660">
        <w:rPr>
          <w:rFonts w:ascii="Times New Roman" w:eastAsia="Calibri" w:hAnsi="Times New Roman" w:cs="Times New Roman"/>
          <w:sz w:val="24"/>
          <w:szCs w:val="24"/>
        </w:rPr>
        <w:t>with HF is stable over time, and although the present study incorporated both exercise and psychosocial components in the intervention, there was no effect on daily activity, perhaps because readiness for behavioral change</w:t>
      </w:r>
      <w:r w:rsidR="001B3510">
        <w:rPr>
          <w:rFonts w:ascii="Times New Roman" w:eastAsia="Calibri" w:hAnsi="Times New Roman" w:cs="Times New Roman"/>
          <w:sz w:val="24"/>
          <w:szCs w:val="24"/>
        </w:rPr>
        <w:t xml:space="preserve"> was not accounted for in either</w:t>
      </w:r>
      <w:r w:rsidRPr="00966660">
        <w:rPr>
          <w:rFonts w:ascii="Times New Roman" w:eastAsia="Calibri" w:hAnsi="Times New Roman" w:cs="Times New Roman"/>
          <w:sz w:val="24"/>
          <w:szCs w:val="24"/>
        </w:rPr>
        <w:t xml:space="preserve"> group stratification/allocation or inclusion criteria.  </w:t>
      </w:r>
      <w:r w:rsidRPr="00966660">
        <w:rPr>
          <w:rFonts w:ascii="Times New Roman" w:eastAsia="Calibri" w:hAnsi="Times New Roman" w:cs="Times New Roman"/>
          <w:b/>
          <w:sz w:val="24"/>
          <w:szCs w:val="24"/>
        </w:rPr>
        <w:t>ACKNOWLEDGEMENTS:</w:t>
      </w:r>
      <w:r w:rsidRPr="00966660">
        <w:rPr>
          <w:rFonts w:ascii="Times New Roman" w:eastAsia="Calibri" w:hAnsi="Times New Roman" w:cs="Times New Roman"/>
          <w:sz w:val="24"/>
          <w:szCs w:val="24"/>
        </w:rPr>
        <w:t xml:space="preserve"> The authors wish to thank Brenda Boer, RN, of the Spectrum Health Cardiac Device Clinic for her help with subject recruitment and data collection.  This study was funded by the Medtronic Cardiac Rhythm and Heart Failure External Research Program.  All decisions related to study design, data collection, analysis, interpretation, and manuscript preparation were that of the authors.  Medtronic review of the manuscript was strictly related to accurate representation/description of Medtronic products.  The authors have no conflicts of interest to disclose.</w:t>
      </w:r>
    </w:p>
    <w:p w:rsidR="00966660" w:rsidRDefault="00966660" w:rsidP="005A0B0F">
      <w:pPr>
        <w:spacing w:after="0" w:line="240" w:lineRule="auto"/>
        <w:rPr>
          <w:rFonts w:ascii="Times New Roman" w:eastAsia="Calibri" w:hAnsi="Times New Roman" w:cs="Times New Roman"/>
          <w:b/>
          <w:sz w:val="24"/>
          <w:szCs w:val="24"/>
        </w:rPr>
      </w:pPr>
    </w:p>
    <w:p w:rsidR="00966660" w:rsidRDefault="00966660" w:rsidP="005A0B0F">
      <w:pPr>
        <w:spacing w:after="0" w:line="240" w:lineRule="auto"/>
        <w:rPr>
          <w:rFonts w:ascii="Times New Roman" w:eastAsia="Calibri" w:hAnsi="Times New Roman" w:cs="Times New Roman"/>
          <w:b/>
          <w:sz w:val="24"/>
          <w:szCs w:val="24"/>
        </w:rPr>
      </w:pPr>
    </w:p>
    <w:p w:rsidR="005A0B0F" w:rsidRPr="005A0B0F" w:rsidRDefault="005A0B0F" w:rsidP="005A0B0F">
      <w:pPr>
        <w:spacing w:after="0" w:line="240" w:lineRule="auto"/>
        <w:rPr>
          <w:rFonts w:ascii="Times New Roman" w:eastAsia="Calibri" w:hAnsi="Times New Roman" w:cs="Times New Roman"/>
          <w:sz w:val="24"/>
          <w:szCs w:val="24"/>
        </w:rPr>
      </w:pPr>
      <w:r w:rsidRPr="006C28BB">
        <w:rPr>
          <w:rFonts w:ascii="Times New Roman" w:eastAsia="Calibri" w:hAnsi="Times New Roman" w:cs="Times New Roman"/>
          <w:b/>
          <w:sz w:val="24"/>
          <w:szCs w:val="24"/>
        </w:rPr>
        <w:lastRenderedPageBreak/>
        <w:t>CLINICAL DECISION MAKING ABILITIES OF PHYSICAL THERAPISTS IN MICHIGAN TO DETERMINE THE NEED FOR MEDICAL REFERRAL.</w:t>
      </w:r>
      <w:r w:rsidRPr="005A0B0F">
        <w:rPr>
          <w:rFonts w:ascii="Times New Roman" w:eastAsia="Calibri" w:hAnsi="Times New Roman" w:cs="Times New Roman"/>
          <w:sz w:val="24"/>
          <w:szCs w:val="24"/>
        </w:rPr>
        <w:t xml:space="preserve"> </w:t>
      </w:r>
      <w:r w:rsidR="006C28BB">
        <w:rPr>
          <w:rFonts w:ascii="Times New Roman" w:eastAsia="Calibri" w:hAnsi="Times New Roman" w:cs="Times New Roman"/>
          <w:sz w:val="24"/>
          <w:szCs w:val="24"/>
        </w:rPr>
        <w:t xml:space="preserve">Bilger BK, Hooker DL, </w:t>
      </w:r>
      <w:r w:rsidRPr="005A0B0F">
        <w:rPr>
          <w:rFonts w:ascii="Times New Roman" w:eastAsia="Calibri" w:hAnsi="Times New Roman" w:cs="Times New Roman"/>
          <w:sz w:val="24"/>
          <w:szCs w:val="24"/>
        </w:rPr>
        <w:t>L</w:t>
      </w:r>
      <w:r w:rsidR="006C28BB">
        <w:rPr>
          <w:rFonts w:ascii="Times New Roman" w:eastAsia="Calibri" w:hAnsi="Times New Roman" w:cs="Times New Roman"/>
          <w:sz w:val="24"/>
          <w:szCs w:val="24"/>
        </w:rPr>
        <w:t xml:space="preserve">amb CJ, </w:t>
      </w:r>
      <w:r w:rsidRPr="005A0B0F">
        <w:rPr>
          <w:rFonts w:ascii="Times New Roman" w:eastAsia="Calibri" w:hAnsi="Times New Roman" w:cs="Times New Roman"/>
          <w:sz w:val="24"/>
          <w:szCs w:val="24"/>
        </w:rPr>
        <w:t xml:space="preserve">Vaughn DW, </w:t>
      </w:r>
      <w:r w:rsidR="006C28BB">
        <w:rPr>
          <w:rFonts w:ascii="Times New Roman" w:eastAsia="Calibri" w:hAnsi="Times New Roman" w:cs="Times New Roman"/>
          <w:sz w:val="24"/>
          <w:szCs w:val="24"/>
        </w:rPr>
        <w:t xml:space="preserve">Shoemaker MJ, </w:t>
      </w:r>
      <w:r w:rsidRPr="005A0B0F">
        <w:rPr>
          <w:rFonts w:ascii="Times New Roman" w:eastAsia="Calibri" w:hAnsi="Times New Roman" w:cs="Times New Roman"/>
          <w:sz w:val="24"/>
          <w:szCs w:val="24"/>
        </w:rPr>
        <w:t xml:space="preserve">Ginsberg W; Grand Valley State University, Grand Rapids, MI. </w:t>
      </w:r>
    </w:p>
    <w:p w:rsidR="005A0B0F" w:rsidRPr="005A0B0F" w:rsidRDefault="005A0B0F" w:rsidP="005A0B0F">
      <w:pPr>
        <w:spacing w:after="0" w:line="240" w:lineRule="auto"/>
        <w:rPr>
          <w:rFonts w:ascii="Times New Roman" w:eastAsia="Calibri" w:hAnsi="Times New Roman" w:cs="Times New Roman"/>
          <w:sz w:val="24"/>
          <w:szCs w:val="24"/>
        </w:rPr>
      </w:pPr>
    </w:p>
    <w:p w:rsidR="0068288A" w:rsidRDefault="005A0B0F" w:rsidP="005A0B0F">
      <w:pPr>
        <w:spacing w:after="0" w:line="240" w:lineRule="auto"/>
        <w:rPr>
          <w:rFonts w:ascii="Times New Roman" w:eastAsia="Calibri" w:hAnsi="Times New Roman" w:cs="Times New Roman"/>
          <w:sz w:val="24"/>
          <w:szCs w:val="24"/>
        </w:rPr>
      </w:pPr>
      <w:r w:rsidRPr="00182162">
        <w:rPr>
          <w:rFonts w:ascii="Times New Roman" w:eastAsia="Calibri" w:hAnsi="Times New Roman" w:cs="Times New Roman"/>
          <w:b/>
          <w:sz w:val="24"/>
          <w:szCs w:val="24"/>
        </w:rPr>
        <w:t>INTRODUCTION:</w:t>
      </w:r>
      <w:r w:rsidRPr="005A0B0F">
        <w:rPr>
          <w:rFonts w:ascii="Times New Roman" w:eastAsia="Calibri" w:hAnsi="Times New Roman" w:cs="Times New Roman"/>
          <w:sz w:val="24"/>
          <w:szCs w:val="24"/>
        </w:rPr>
        <w:t xml:space="preserve"> Physical therapist practice has c</w:t>
      </w:r>
      <w:r w:rsidR="00662BA4">
        <w:rPr>
          <w:rFonts w:ascii="Times New Roman" w:eastAsia="Calibri" w:hAnsi="Times New Roman" w:cs="Times New Roman"/>
          <w:sz w:val="24"/>
          <w:szCs w:val="24"/>
        </w:rPr>
        <w:t xml:space="preserve">hanged in the last fifty years </w:t>
      </w:r>
      <w:r w:rsidRPr="005A0B0F">
        <w:rPr>
          <w:rFonts w:ascii="Times New Roman" w:eastAsia="Calibri" w:hAnsi="Times New Roman" w:cs="Times New Roman"/>
          <w:sz w:val="24"/>
          <w:szCs w:val="24"/>
        </w:rPr>
        <w:t xml:space="preserve">including a higher level of education, increased autonomy of practice, and legislative changes that allow direct access to physical therapy services.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Despite these changes, there remains variability in state laws and reimbursement policies that restrict access to physical therapy based on an assumption that physical therapists do not have the education and training to correctly identify patients who may require medical referral.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In order to address these concerns and to determine the impact of the Doctor of Physical Therapy (DPT) degree, the authors investigated the clinical decision making (CDM) abilities of physical therapists in the state of Michigan to determine if medical consultation is warranted in hypothetical patient case vignettes.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In addition, the study explored whether factors such as DPT education, clinical experience, clinical specialization, clinical practice setting, and confidence influenced the CDM accuracy of physical therapists. </w:t>
      </w:r>
      <w:r w:rsidR="00182162">
        <w:rPr>
          <w:rFonts w:ascii="Times New Roman" w:eastAsia="Calibri" w:hAnsi="Times New Roman" w:cs="Times New Roman"/>
          <w:sz w:val="24"/>
          <w:szCs w:val="24"/>
        </w:rPr>
        <w:t xml:space="preserve"> </w:t>
      </w:r>
      <w:r w:rsidRPr="00182162">
        <w:rPr>
          <w:rFonts w:ascii="Times New Roman" w:eastAsia="Calibri" w:hAnsi="Times New Roman" w:cs="Times New Roman"/>
          <w:b/>
          <w:sz w:val="24"/>
          <w:szCs w:val="24"/>
        </w:rPr>
        <w:t>METHODS:</w:t>
      </w:r>
      <w:r w:rsidRPr="005A0B0F">
        <w:rPr>
          <w:rFonts w:ascii="Times New Roman" w:eastAsia="Calibri" w:hAnsi="Times New Roman" w:cs="Times New Roman"/>
          <w:sz w:val="24"/>
          <w:szCs w:val="24"/>
        </w:rPr>
        <w:t xml:space="preserve"> A survey instrument of 15 clinical vignettes was distributed via a snowball method to licensed physical therapists in Michigan across practice settings.  The participants were asked to provide demographic and practice information.  The survey also required participants to rate self-perceived competence in CDM abilities.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In each vignette, the participants used key information to make a decision on the need for medical referral and the urgency of the referral.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The participants then rated their level of confidence in making the referral decision.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Chi-squar</w:t>
      </w:r>
      <w:r w:rsidR="0010451D">
        <w:rPr>
          <w:rFonts w:ascii="Times New Roman" w:eastAsia="Calibri" w:hAnsi="Times New Roman" w:cs="Times New Roman"/>
          <w:sz w:val="24"/>
          <w:szCs w:val="24"/>
        </w:rPr>
        <w:t>e analyses/Fisher’s Exact Tests</w:t>
      </w:r>
      <w:r w:rsidRPr="005A0B0F">
        <w:rPr>
          <w:rFonts w:ascii="Times New Roman" w:eastAsia="Calibri" w:hAnsi="Times New Roman" w:cs="Times New Roman"/>
          <w:sz w:val="24"/>
          <w:szCs w:val="24"/>
        </w:rPr>
        <w:t xml:space="preserve"> and independent t-tests were performed to determine the relationship between accuracy, confidence</w:t>
      </w:r>
      <w:r w:rsidR="0010451D">
        <w:rPr>
          <w:rFonts w:ascii="Times New Roman" w:eastAsia="Calibri" w:hAnsi="Times New Roman" w:cs="Times New Roman"/>
          <w:sz w:val="24"/>
          <w:szCs w:val="24"/>
        </w:rPr>
        <w:t>,</w:t>
      </w:r>
      <w:r w:rsidRPr="005A0B0F">
        <w:rPr>
          <w:rFonts w:ascii="Times New Roman" w:eastAsia="Calibri" w:hAnsi="Times New Roman" w:cs="Times New Roman"/>
          <w:sz w:val="24"/>
          <w:szCs w:val="24"/>
        </w:rPr>
        <w:t xml:space="preserve"> and demographic information. </w:t>
      </w:r>
      <w:r w:rsidR="00182162">
        <w:rPr>
          <w:rFonts w:ascii="Times New Roman" w:eastAsia="Calibri" w:hAnsi="Times New Roman" w:cs="Times New Roman"/>
          <w:sz w:val="24"/>
          <w:szCs w:val="24"/>
        </w:rPr>
        <w:t xml:space="preserve"> </w:t>
      </w:r>
      <w:r w:rsidRPr="00182162">
        <w:rPr>
          <w:rFonts w:ascii="Times New Roman" w:eastAsia="Calibri" w:hAnsi="Times New Roman" w:cs="Times New Roman"/>
          <w:b/>
          <w:sz w:val="24"/>
          <w:szCs w:val="24"/>
        </w:rPr>
        <w:t>RESULTS:</w:t>
      </w:r>
      <w:r w:rsidR="0010451D">
        <w:rPr>
          <w:rFonts w:ascii="Times New Roman" w:eastAsia="Calibri" w:hAnsi="Times New Roman" w:cs="Times New Roman"/>
          <w:sz w:val="24"/>
          <w:szCs w:val="24"/>
        </w:rPr>
        <w:t xml:space="preserve"> Two hundred five</w:t>
      </w:r>
      <w:r w:rsidRPr="005A0B0F">
        <w:rPr>
          <w:rFonts w:ascii="Times New Roman" w:eastAsia="Calibri" w:hAnsi="Times New Roman" w:cs="Times New Roman"/>
          <w:sz w:val="24"/>
          <w:szCs w:val="24"/>
        </w:rPr>
        <w:t xml:space="preserve"> participants completed the survey.  64% of </w:t>
      </w:r>
      <w:r w:rsidR="0010451D">
        <w:rPr>
          <w:rFonts w:ascii="Times New Roman" w:eastAsia="Calibri" w:hAnsi="Times New Roman" w:cs="Times New Roman"/>
          <w:sz w:val="24"/>
          <w:szCs w:val="24"/>
        </w:rPr>
        <w:t>the participants had 10 or more</w:t>
      </w:r>
      <w:r w:rsidRPr="005A0B0F">
        <w:rPr>
          <w:rFonts w:ascii="Times New Roman" w:eastAsia="Calibri" w:hAnsi="Times New Roman" w:cs="Times New Roman"/>
          <w:sz w:val="24"/>
          <w:szCs w:val="24"/>
        </w:rPr>
        <w:t xml:space="preserve"> years of experience</w:t>
      </w:r>
      <w:r w:rsidR="0010451D">
        <w:rPr>
          <w:rFonts w:ascii="Times New Roman" w:eastAsia="Calibri" w:hAnsi="Times New Roman" w:cs="Times New Roman"/>
          <w:sz w:val="24"/>
          <w:szCs w:val="24"/>
        </w:rPr>
        <w:t>,</w:t>
      </w:r>
      <w:r w:rsidRPr="005A0B0F">
        <w:rPr>
          <w:rFonts w:ascii="Times New Roman" w:eastAsia="Calibri" w:hAnsi="Times New Roman" w:cs="Times New Roman"/>
          <w:sz w:val="24"/>
          <w:szCs w:val="24"/>
        </w:rPr>
        <w:t xml:space="preserve"> and 44.9% of </w:t>
      </w:r>
      <w:r w:rsidR="0010451D">
        <w:rPr>
          <w:rFonts w:ascii="Times New Roman" w:eastAsia="Calibri" w:hAnsi="Times New Roman" w:cs="Times New Roman"/>
          <w:sz w:val="24"/>
          <w:szCs w:val="24"/>
        </w:rPr>
        <w:t xml:space="preserve">the </w:t>
      </w:r>
      <w:r w:rsidRPr="005A0B0F">
        <w:rPr>
          <w:rFonts w:ascii="Times New Roman" w:eastAsia="Calibri" w:hAnsi="Times New Roman" w:cs="Times New Roman"/>
          <w:sz w:val="24"/>
          <w:szCs w:val="24"/>
        </w:rPr>
        <w:t xml:space="preserve">participants held a DPT degree.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Overall, the average a</w:t>
      </w:r>
      <w:r w:rsidR="0010451D">
        <w:rPr>
          <w:rFonts w:ascii="Times New Roman" w:eastAsia="Calibri" w:hAnsi="Times New Roman" w:cs="Times New Roman"/>
          <w:sz w:val="24"/>
          <w:szCs w:val="24"/>
        </w:rPr>
        <w:t>ccuracy in determining whether</w:t>
      </w:r>
      <w:r w:rsidRPr="005A0B0F">
        <w:rPr>
          <w:rFonts w:ascii="Times New Roman" w:eastAsia="Calibri" w:hAnsi="Times New Roman" w:cs="Times New Roman"/>
          <w:sz w:val="24"/>
          <w:szCs w:val="24"/>
        </w:rPr>
        <w:t xml:space="preserve"> medical consultation was warranted was 85.3%. </w:t>
      </w:r>
      <w:r w:rsidR="00182162">
        <w:rPr>
          <w:rFonts w:ascii="Times New Roman" w:eastAsia="Calibri" w:hAnsi="Times New Roman" w:cs="Times New Roman"/>
          <w:sz w:val="24"/>
          <w:szCs w:val="24"/>
        </w:rPr>
        <w:t xml:space="preserve"> </w:t>
      </w:r>
      <w:r w:rsidR="0010451D">
        <w:rPr>
          <w:rFonts w:ascii="Times New Roman" w:eastAsia="Calibri" w:hAnsi="Times New Roman" w:cs="Times New Roman"/>
          <w:sz w:val="24"/>
          <w:szCs w:val="24"/>
        </w:rPr>
        <w:t>Participants who</w:t>
      </w:r>
      <w:r w:rsidRPr="005A0B0F">
        <w:rPr>
          <w:rFonts w:ascii="Times New Roman" w:eastAsia="Calibri" w:hAnsi="Times New Roman" w:cs="Times New Roman"/>
          <w:sz w:val="24"/>
          <w:szCs w:val="24"/>
        </w:rPr>
        <w:t xml:space="preserve"> held a DPT degree had a 2.7% greater mean accuracy score (p=.03) compared to those with other degrees.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No statistically significant difference was found between overall accuracy and years of experience.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Accuracy of participants to recognize urgent medical referral when immediate action was required was an average of 78.3%.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Mean accuracy of these urgent referrals was gr</w:t>
      </w:r>
      <w:r w:rsidR="0010451D">
        <w:rPr>
          <w:rFonts w:ascii="Times New Roman" w:eastAsia="Calibri" w:hAnsi="Times New Roman" w:cs="Times New Roman"/>
          <w:sz w:val="24"/>
          <w:szCs w:val="24"/>
        </w:rPr>
        <w:t>eater in those participants who</w:t>
      </w:r>
      <w:r w:rsidRPr="005A0B0F">
        <w:rPr>
          <w:rFonts w:ascii="Times New Roman" w:eastAsia="Calibri" w:hAnsi="Times New Roman" w:cs="Times New Roman"/>
          <w:sz w:val="24"/>
          <w:szCs w:val="24"/>
        </w:rPr>
        <w:t xml:space="preserve"> held a DPT degree (p=.02).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Participants with less than 10 years of experience had a 7.2% greater mean accuracy score (p=.01) on these urgent vignettes than participants with 1</w:t>
      </w:r>
      <w:r w:rsidR="0010451D">
        <w:rPr>
          <w:rFonts w:ascii="Times New Roman" w:eastAsia="Calibri" w:hAnsi="Times New Roman" w:cs="Times New Roman"/>
          <w:sz w:val="24"/>
          <w:szCs w:val="24"/>
        </w:rPr>
        <w:t>0 years of experience or more</w:t>
      </w:r>
      <w:r w:rsidRPr="005A0B0F">
        <w:rPr>
          <w:rFonts w:ascii="Times New Roman" w:eastAsia="Calibri" w:hAnsi="Times New Roman" w:cs="Times New Roman"/>
          <w:sz w:val="24"/>
          <w:szCs w:val="24"/>
        </w:rPr>
        <w:t>.</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 Those who self-rated </w:t>
      </w:r>
      <w:r w:rsidR="0010451D">
        <w:rPr>
          <w:rFonts w:ascii="Times New Roman" w:eastAsia="Calibri" w:hAnsi="Times New Roman" w:cs="Times New Roman"/>
          <w:sz w:val="24"/>
          <w:szCs w:val="24"/>
        </w:rPr>
        <w:t xml:space="preserve">themselves </w:t>
      </w:r>
      <w:r w:rsidRPr="005A0B0F">
        <w:rPr>
          <w:rFonts w:ascii="Times New Roman" w:eastAsia="Calibri" w:hAnsi="Times New Roman" w:cs="Times New Roman"/>
          <w:sz w:val="24"/>
          <w:szCs w:val="24"/>
        </w:rPr>
        <w:t>as confident in overall CDM were more accurate (p=.05)</w:t>
      </w:r>
      <w:r w:rsidR="0010451D">
        <w:rPr>
          <w:rFonts w:ascii="Times New Roman" w:eastAsia="Calibri" w:hAnsi="Times New Roman" w:cs="Times New Roman"/>
          <w:sz w:val="24"/>
          <w:szCs w:val="24"/>
        </w:rPr>
        <w:t>,</w:t>
      </w:r>
      <w:r w:rsidRPr="005A0B0F">
        <w:rPr>
          <w:rFonts w:ascii="Times New Roman" w:eastAsia="Calibri" w:hAnsi="Times New Roman" w:cs="Times New Roman"/>
          <w:sz w:val="24"/>
          <w:szCs w:val="24"/>
        </w:rPr>
        <w:t xml:space="preserve"> and on 5 of the 15 vignettes</w:t>
      </w:r>
      <w:r w:rsidR="0010451D">
        <w:rPr>
          <w:rFonts w:ascii="Times New Roman" w:eastAsia="Calibri" w:hAnsi="Times New Roman" w:cs="Times New Roman"/>
          <w:sz w:val="24"/>
          <w:szCs w:val="24"/>
        </w:rPr>
        <w:t>,</w:t>
      </w:r>
      <w:r w:rsidRPr="005A0B0F">
        <w:rPr>
          <w:rFonts w:ascii="Times New Roman" w:eastAsia="Calibri" w:hAnsi="Times New Roman" w:cs="Times New Roman"/>
          <w:sz w:val="24"/>
          <w:szCs w:val="24"/>
        </w:rPr>
        <w:t xml:space="preserve"> higher confidence was associated with </w:t>
      </w:r>
      <w:r w:rsidR="0010451D">
        <w:rPr>
          <w:rFonts w:ascii="Times New Roman" w:eastAsia="Calibri" w:hAnsi="Times New Roman" w:cs="Times New Roman"/>
          <w:sz w:val="24"/>
          <w:szCs w:val="24"/>
        </w:rPr>
        <w:t xml:space="preserve">increased </w:t>
      </w:r>
      <w:r w:rsidRPr="005A0B0F">
        <w:rPr>
          <w:rFonts w:ascii="Times New Roman" w:eastAsia="Calibri" w:hAnsi="Times New Roman" w:cs="Times New Roman"/>
          <w:sz w:val="24"/>
          <w:szCs w:val="24"/>
        </w:rPr>
        <w:t xml:space="preserve">accuracy.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Clinical specialization and clinical practice setting were not associated with overall CDM accuracy. </w:t>
      </w:r>
      <w:r w:rsidR="00182162">
        <w:rPr>
          <w:rFonts w:ascii="Times New Roman" w:eastAsia="Calibri" w:hAnsi="Times New Roman" w:cs="Times New Roman"/>
          <w:sz w:val="24"/>
          <w:szCs w:val="24"/>
        </w:rPr>
        <w:t xml:space="preserve"> </w:t>
      </w:r>
      <w:r w:rsidRPr="00182162">
        <w:rPr>
          <w:rFonts w:ascii="Times New Roman" w:eastAsia="Calibri" w:hAnsi="Times New Roman" w:cs="Times New Roman"/>
          <w:b/>
          <w:sz w:val="24"/>
          <w:szCs w:val="24"/>
        </w:rPr>
        <w:t>DISCUSSION:</w:t>
      </w:r>
      <w:r w:rsidRPr="005A0B0F">
        <w:rPr>
          <w:rFonts w:ascii="Times New Roman" w:eastAsia="Calibri" w:hAnsi="Times New Roman" w:cs="Times New Roman"/>
          <w:sz w:val="24"/>
          <w:szCs w:val="24"/>
        </w:rPr>
        <w:t xml:space="preserve"> </w:t>
      </w:r>
      <w:r w:rsidR="0010451D">
        <w:rPr>
          <w:rFonts w:ascii="Times New Roman" w:eastAsia="Calibri" w:hAnsi="Times New Roman" w:cs="Times New Roman"/>
          <w:sz w:val="24"/>
          <w:szCs w:val="24"/>
        </w:rPr>
        <w:t>Overall, the average accuracy was</w:t>
      </w:r>
      <w:r w:rsidRPr="005A0B0F">
        <w:rPr>
          <w:rFonts w:ascii="Times New Roman" w:eastAsia="Calibri" w:hAnsi="Times New Roman" w:cs="Times New Roman"/>
          <w:sz w:val="24"/>
          <w:szCs w:val="24"/>
        </w:rPr>
        <w:t xml:space="preserve"> co</w:t>
      </w:r>
      <w:r w:rsidR="00182162">
        <w:rPr>
          <w:rFonts w:ascii="Times New Roman" w:eastAsia="Calibri" w:hAnsi="Times New Roman" w:cs="Times New Roman"/>
          <w:sz w:val="24"/>
          <w:szCs w:val="24"/>
        </w:rPr>
        <w:t>nsistent with previous studies.  H</w:t>
      </w:r>
      <w:r w:rsidRPr="005A0B0F">
        <w:rPr>
          <w:rFonts w:ascii="Times New Roman" w:eastAsia="Calibri" w:hAnsi="Times New Roman" w:cs="Times New Roman"/>
          <w:sz w:val="24"/>
          <w:szCs w:val="24"/>
        </w:rPr>
        <w:t xml:space="preserve">owever, the current study highlights the accuracy of physical therapists’ CDM abilities across practice settings, levels of experience and levels of education. </w:t>
      </w:r>
      <w:r w:rsidR="00182162">
        <w:rPr>
          <w:rFonts w:ascii="Times New Roman" w:eastAsia="Calibri" w:hAnsi="Times New Roman" w:cs="Times New Roman"/>
          <w:sz w:val="24"/>
          <w:szCs w:val="24"/>
        </w:rPr>
        <w:t xml:space="preserve"> </w:t>
      </w:r>
      <w:r w:rsidR="0010451D">
        <w:rPr>
          <w:rFonts w:ascii="Times New Roman" w:eastAsia="Calibri" w:hAnsi="Times New Roman" w:cs="Times New Roman"/>
          <w:sz w:val="24"/>
          <w:szCs w:val="24"/>
        </w:rPr>
        <w:t>These factors had</w:t>
      </w:r>
      <w:r w:rsidRPr="005A0B0F">
        <w:rPr>
          <w:rFonts w:ascii="Times New Roman" w:eastAsia="Calibri" w:hAnsi="Times New Roman" w:cs="Times New Roman"/>
          <w:sz w:val="24"/>
          <w:szCs w:val="24"/>
        </w:rPr>
        <w:t xml:space="preserve"> not been identified in previous studies.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DPT degree</w:t>
      </w:r>
      <w:r w:rsidR="00771A6D">
        <w:rPr>
          <w:rFonts w:ascii="Times New Roman" w:eastAsia="Calibri" w:hAnsi="Times New Roman" w:cs="Times New Roman"/>
          <w:sz w:val="24"/>
          <w:szCs w:val="24"/>
        </w:rPr>
        <w:t xml:space="preserve"> positively impacts accuracy, whereas the number of years of experience </w:t>
      </w:r>
      <w:r w:rsidRPr="005A0B0F">
        <w:rPr>
          <w:rFonts w:ascii="Times New Roman" w:eastAsia="Calibri" w:hAnsi="Times New Roman" w:cs="Times New Roman"/>
          <w:sz w:val="24"/>
          <w:szCs w:val="24"/>
        </w:rPr>
        <w:t xml:space="preserve">does not. </w:t>
      </w:r>
      <w:r w:rsidR="00182162">
        <w:rPr>
          <w:rFonts w:ascii="Times New Roman" w:eastAsia="Calibri" w:hAnsi="Times New Roman" w:cs="Times New Roman"/>
          <w:sz w:val="24"/>
          <w:szCs w:val="24"/>
        </w:rPr>
        <w:t xml:space="preserve"> </w:t>
      </w:r>
      <w:r w:rsidRPr="00182162">
        <w:rPr>
          <w:rFonts w:ascii="Times New Roman" w:eastAsia="Calibri" w:hAnsi="Times New Roman" w:cs="Times New Roman"/>
          <w:b/>
          <w:sz w:val="24"/>
          <w:szCs w:val="24"/>
        </w:rPr>
        <w:t>CONCLUSION</w:t>
      </w:r>
      <w:r w:rsidR="00182162" w:rsidRPr="00182162">
        <w:rPr>
          <w:rFonts w:ascii="Times New Roman" w:eastAsia="Calibri" w:hAnsi="Times New Roman" w:cs="Times New Roman"/>
          <w:b/>
          <w:sz w:val="24"/>
          <w:szCs w:val="24"/>
        </w:rPr>
        <w:t>S</w:t>
      </w:r>
      <w:r w:rsidRPr="00182162">
        <w:rPr>
          <w:rFonts w:ascii="Times New Roman" w:eastAsia="Calibri" w:hAnsi="Times New Roman" w:cs="Times New Roman"/>
          <w:b/>
          <w:sz w:val="24"/>
          <w:szCs w:val="24"/>
        </w:rPr>
        <w:t>:</w:t>
      </w:r>
      <w:r w:rsidR="0010451D">
        <w:rPr>
          <w:rFonts w:ascii="Times New Roman" w:eastAsia="Calibri" w:hAnsi="Times New Roman" w:cs="Times New Roman"/>
          <w:sz w:val="24"/>
          <w:szCs w:val="24"/>
        </w:rPr>
        <w:t xml:space="preserve"> Overall, l</w:t>
      </w:r>
      <w:r w:rsidRPr="005A0B0F">
        <w:rPr>
          <w:rFonts w:ascii="Times New Roman" w:eastAsia="Calibri" w:hAnsi="Times New Roman" w:cs="Times New Roman"/>
          <w:sz w:val="24"/>
          <w:szCs w:val="24"/>
        </w:rPr>
        <w:t>icensed physical therapists in Michigan across all</w:t>
      </w:r>
      <w:r w:rsidR="0010451D">
        <w:rPr>
          <w:rFonts w:ascii="Times New Roman" w:eastAsia="Calibri" w:hAnsi="Times New Roman" w:cs="Times New Roman"/>
          <w:sz w:val="24"/>
          <w:szCs w:val="24"/>
        </w:rPr>
        <w:t xml:space="preserve"> practice settings were </w:t>
      </w:r>
      <w:r w:rsidRPr="005A0B0F">
        <w:rPr>
          <w:rFonts w:ascii="Times New Roman" w:eastAsia="Calibri" w:hAnsi="Times New Roman" w:cs="Times New Roman"/>
          <w:sz w:val="24"/>
          <w:szCs w:val="24"/>
        </w:rPr>
        <w:t>considered accurate in their abil</w:t>
      </w:r>
      <w:r w:rsidR="0010451D">
        <w:rPr>
          <w:rFonts w:ascii="Times New Roman" w:eastAsia="Calibri" w:hAnsi="Times New Roman" w:cs="Times New Roman"/>
          <w:sz w:val="24"/>
          <w:szCs w:val="24"/>
        </w:rPr>
        <w:t>ity to determine whether a hypothetical patient might</w:t>
      </w:r>
      <w:r w:rsidRPr="005A0B0F">
        <w:rPr>
          <w:rFonts w:ascii="Times New Roman" w:eastAsia="Calibri" w:hAnsi="Times New Roman" w:cs="Times New Roman"/>
          <w:sz w:val="24"/>
          <w:szCs w:val="24"/>
        </w:rPr>
        <w:t xml:space="preserve"> require medical referral in clinical case vignettes that represented a variety of medical conditions. </w:t>
      </w:r>
      <w:r w:rsidR="00182162">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Results support that the transition to the DPT degree has prepared physical therapists to accurately determine the need for medical referral in </w:t>
      </w:r>
      <w:r w:rsidR="0010451D">
        <w:rPr>
          <w:rFonts w:ascii="Times New Roman" w:eastAsia="Calibri" w:hAnsi="Times New Roman" w:cs="Times New Roman"/>
          <w:sz w:val="24"/>
          <w:szCs w:val="24"/>
        </w:rPr>
        <w:t xml:space="preserve">the </w:t>
      </w:r>
      <w:r w:rsidRPr="005A0B0F">
        <w:rPr>
          <w:rFonts w:ascii="Times New Roman" w:eastAsia="Calibri" w:hAnsi="Times New Roman" w:cs="Times New Roman"/>
          <w:sz w:val="24"/>
          <w:szCs w:val="24"/>
        </w:rPr>
        <w:t>absence of extensive clinical experience.</w:t>
      </w:r>
    </w:p>
    <w:p w:rsidR="0068288A" w:rsidRPr="0068288A" w:rsidRDefault="0068288A" w:rsidP="0068288A">
      <w:pPr>
        <w:spacing w:after="0" w:line="240" w:lineRule="auto"/>
        <w:rPr>
          <w:rFonts w:ascii="Times New Roman" w:eastAsia="Calibri" w:hAnsi="Times New Roman" w:cs="Times New Roman"/>
          <w:sz w:val="24"/>
          <w:szCs w:val="24"/>
        </w:rPr>
      </w:pPr>
      <w:r w:rsidRPr="0068288A">
        <w:rPr>
          <w:rFonts w:ascii="Times New Roman" w:eastAsia="Calibri" w:hAnsi="Times New Roman" w:cs="Times New Roman"/>
          <w:b/>
          <w:sz w:val="24"/>
          <w:szCs w:val="24"/>
        </w:rPr>
        <w:lastRenderedPageBreak/>
        <w:t>AN INVESTIGATION OF THE CLINICAL REASONING PATTERNS OF PHYSICAL THERAPISTS FOR A CERVICAL SPINE CASE PRESENTATION.</w:t>
      </w:r>
      <w:r w:rsidRPr="0068288A">
        <w:rPr>
          <w:rFonts w:ascii="Times New Roman" w:eastAsia="Calibri" w:hAnsi="Times New Roman" w:cs="Times New Roman"/>
          <w:sz w:val="24"/>
          <w:szCs w:val="24"/>
        </w:rPr>
        <w:t xml:space="preserve"> Majeske A, Phillips M, Rickfelder J, Sobeck C; Grand Valley State University, Grand Rapids, MI.</w:t>
      </w:r>
    </w:p>
    <w:p w:rsidR="0068288A" w:rsidRPr="0068288A" w:rsidRDefault="0068288A" w:rsidP="0068288A">
      <w:pPr>
        <w:spacing w:after="0" w:line="240" w:lineRule="auto"/>
        <w:rPr>
          <w:rFonts w:ascii="Times New Roman" w:eastAsia="Calibri" w:hAnsi="Times New Roman" w:cs="Times New Roman"/>
          <w:sz w:val="24"/>
          <w:szCs w:val="24"/>
        </w:rPr>
      </w:pPr>
    </w:p>
    <w:p w:rsidR="005C18EA" w:rsidRDefault="0068288A" w:rsidP="006C28BB">
      <w:pPr>
        <w:spacing w:after="0" w:line="240" w:lineRule="auto"/>
        <w:rPr>
          <w:rFonts w:ascii="Times New Roman" w:eastAsia="Calibri" w:hAnsi="Times New Roman" w:cs="Times New Roman"/>
          <w:sz w:val="24"/>
          <w:szCs w:val="24"/>
        </w:rPr>
      </w:pPr>
      <w:r w:rsidRPr="0068288A">
        <w:rPr>
          <w:rFonts w:ascii="Times New Roman" w:eastAsia="Calibri" w:hAnsi="Times New Roman" w:cs="Times New Roman"/>
          <w:b/>
          <w:sz w:val="24"/>
          <w:szCs w:val="24"/>
        </w:rPr>
        <w:t>INTRODUCTION:</w:t>
      </w:r>
      <w:r w:rsidRPr="0068288A">
        <w:rPr>
          <w:rFonts w:ascii="Times New Roman" w:eastAsia="Calibri" w:hAnsi="Times New Roman" w:cs="Times New Roman"/>
          <w:sz w:val="24"/>
          <w:szCs w:val="24"/>
        </w:rPr>
        <w:t xml:space="preserve"> The clinical reasoning process is a multifaceted and complex component of a patient examination. Physical therapists (PTs) come from varied professional and educational backgrounds, which results in numerous clinical reasoning strategies used to determine a physical therapy diagnosis.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sz w:val="24"/>
          <w:szCs w:val="24"/>
        </w:rPr>
        <w:t xml:space="preserve">The purpose of this study was to quantitatively measure the clinical reasoning patterns of PTs by examining which components of the clinical examination were valued for a patient case consistent with a C6 cervical radiculopathy.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b/>
          <w:sz w:val="24"/>
          <w:szCs w:val="24"/>
        </w:rPr>
        <w:t>METHODS:</w:t>
      </w:r>
      <w:r w:rsidRPr="0068288A">
        <w:rPr>
          <w:rFonts w:ascii="Times New Roman" w:eastAsia="Calibri" w:hAnsi="Times New Roman" w:cs="Times New Roman"/>
          <w:sz w:val="24"/>
          <w:szCs w:val="24"/>
        </w:rPr>
        <w:t xml:space="preserve"> The design of this study was a randomized survey of a patient e</w:t>
      </w:r>
      <w:r w:rsidR="006D0FDB">
        <w:rPr>
          <w:rFonts w:ascii="Times New Roman" w:eastAsia="Calibri" w:hAnsi="Times New Roman" w:cs="Times New Roman"/>
          <w:sz w:val="24"/>
          <w:szCs w:val="24"/>
        </w:rPr>
        <w:t>xamination case with</w:t>
      </w:r>
      <w:r w:rsidRPr="0068288A">
        <w:rPr>
          <w:rFonts w:ascii="Times New Roman" w:eastAsia="Calibri" w:hAnsi="Times New Roman" w:cs="Times New Roman"/>
          <w:sz w:val="24"/>
          <w:szCs w:val="24"/>
        </w:rPr>
        <w:t xml:space="preserve"> a C6 cervical radiculopathy diagnosis.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sz w:val="24"/>
          <w:szCs w:val="24"/>
        </w:rPr>
        <w:t xml:space="preserve">The survey was made available through Survey Monkey’s online customizable website.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sz w:val="24"/>
          <w:szCs w:val="24"/>
        </w:rPr>
        <w:t>A contact pers</w:t>
      </w:r>
      <w:r w:rsidR="006D0FDB">
        <w:rPr>
          <w:rFonts w:ascii="Times New Roman" w:eastAsia="Calibri" w:hAnsi="Times New Roman" w:cs="Times New Roman"/>
          <w:sz w:val="24"/>
          <w:szCs w:val="24"/>
        </w:rPr>
        <w:t xml:space="preserve">on from each of the 24 </w:t>
      </w:r>
      <w:r w:rsidRPr="0068288A">
        <w:rPr>
          <w:rFonts w:ascii="Times New Roman" w:eastAsia="Calibri" w:hAnsi="Times New Roman" w:cs="Times New Roman"/>
          <w:sz w:val="24"/>
          <w:szCs w:val="24"/>
        </w:rPr>
        <w:t>American Physical Therapy Association accredited post-professional fellowship programs were contacted via email and asked to forward a link to their graduates that would allow them access to the s</w:t>
      </w:r>
      <w:r>
        <w:rPr>
          <w:rFonts w:ascii="Times New Roman" w:eastAsia="Calibri" w:hAnsi="Times New Roman" w:cs="Times New Roman"/>
          <w:sz w:val="24"/>
          <w:szCs w:val="24"/>
        </w:rPr>
        <w:t xml:space="preserve">urvey. </w:t>
      </w:r>
      <w:r w:rsidR="005C18EA">
        <w:rPr>
          <w:rFonts w:ascii="Times New Roman" w:eastAsia="Calibri" w:hAnsi="Times New Roman" w:cs="Times New Roman"/>
          <w:sz w:val="24"/>
          <w:szCs w:val="24"/>
        </w:rPr>
        <w:t xml:space="preserve"> </w:t>
      </w:r>
      <w:r>
        <w:rPr>
          <w:rFonts w:ascii="Times New Roman" w:eastAsia="Calibri" w:hAnsi="Times New Roman" w:cs="Times New Roman"/>
          <w:sz w:val="24"/>
          <w:szCs w:val="24"/>
        </w:rPr>
        <w:t>A total of 31 fellowship-</w:t>
      </w:r>
      <w:r w:rsidRPr="0068288A">
        <w:rPr>
          <w:rFonts w:ascii="Times New Roman" w:eastAsia="Calibri" w:hAnsi="Times New Roman" w:cs="Times New Roman"/>
          <w:sz w:val="24"/>
          <w:szCs w:val="24"/>
        </w:rPr>
        <w:t xml:space="preserve">trained PTs from 14 different programs participated in the study.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sz w:val="24"/>
          <w:szCs w:val="24"/>
        </w:rPr>
        <w:t xml:space="preserve">Participants were asked to rank on a 5-point Likert scale (from strongly disagree to strongly agree) the importance of each component of the physical examination in establishing a diagnosis of C6 cervical radiculopathy.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sz w:val="24"/>
          <w:szCs w:val="24"/>
        </w:rPr>
        <w:t xml:space="preserve">The mean values were calculated for each question.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sz w:val="24"/>
          <w:szCs w:val="24"/>
        </w:rPr>
        <w:t xml:space="preserve">Responses with a mean ≥ 4.00 or ≤ 2.00 were deemed as valuable and selected for statistical analysis. </w:t>
      </w:r>
      <w:r w:rsidR="005C18EA">
        <w:rPr>
          <w:rFonts w:ascii="Times New Roman" w:eastAsia="Calibri" w:hAnsi="Times New Roman" w:cs="Times New Roman"/>
          <w:sz w:val="24"/>
          <w:szCs w:val="24"/>
        </w:rPr>
        <w:t xml:space="preserve"> </w:t>
      </w:r>
      <w:r w:rsidR="006D0FDB">
        <w:rPr>
          <w:rFonts w:ascii="Times New Roman" w:eastAsia="Calibri" w:hAnsi="Times New Roman" w:cs="Times New Roman"/>
          <w:sz w:val="24"/>
          <w:szCs w:val="24"/>
        </w:rPr>
        <w:t xml:space="preserve">    </w:t>
      </w:r>
      <w:r w:rsidRPr="0068288A">
        <w:rPr>
          <w:rFonts w:ascii="Times New Roman" w:eastAsia="Calibri" w:hAnsi="Times New Roman" w:cs="Times New Roman"/>
          <w:sz w:val="24"/>
          <w:szCs w:val="24"/>
        </w:rPr>
        <w:t>Wilcoxon-Signed Rank tests were used to comp</w:t>
      </w:r>
      <w:r w:rsidR="006D0FDB">
        <w:rPr>
          <w:rFonts w:ascii="Times New Roman" w:eastAsia="Calibri" w:hAnsi="Times New Roman" w:cs="Times New Roman"/>
          <w:sz w:val="24"/>
          <w:szCs w:val="24"/>
        </w:rPr>
        <w:t>are examination component means</w:t>
      </w:r>
      <w:r w:rsidRPr="0068288A">
        <w:rPr>
          <w:rFonts w:ascii="Times New Roman" w:eastAsia="Calibri" w:hAnsi="Times New Roman" w:cs="Times New Roman"/>
          <w:sz w:val="24"/>
          <w:szCs w:val="24"/>
        </w:rPr>
        <w:t xml:space="preserve"> with a</w:t>
      </w:r>
      <w:r w:rsidR="006D0FDB">
        <w:rPr>
          <w:rFonts w:ascii="Times New Roman" w:eastAsia="Calibri" w:hAnsi="Times New Roman" w:cs="Times New Roman"/>
          <w:sz w:val="24"/>
          <w:szCs w:val="24"/>
        </w:rPr>
        <w:t xml:space="preserve">         </w:t>
      </w:r>
      <w:r w:rsidRPr="0068288A">
        <w:rPr>
          <w:rFonts w:ascii="Times New Roman" w:eastAsia="Calibri" w:hAnsi="Times New Roman" w:cs="Times New Roman"/>
          <w:sz w:val="24"/>
          <w:szCs w:val="24"/>
        </w:rPr>
        <w:t xml:space="preserve"> p-value of 0.003.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b/>
          <w:sz w:val="24"/>
          <w:szCs w:val="24"/>
        </w:rPr>
        <w:t>RESULTS:</w:t>
      </w:r>
      <w:r w:rsidRPr="0068288A">
        <w:rPr>
          <w:rFonts w:ascii="Times New Roman" w:eastAsia="Calibri" w:hAnsi="Times New Roman" w:cs="Times New Roman"/>
          <w:sz w:val="24"/>
          <w:szCs w:val="24"/>
        </w:rPr>
        <w:t xml:space="preserve"> Questions were grouped into eight different categories (history, observation, range of motion, special tests, joint motion assessment, myotome, dermatome, and neurological findings) in addition to being analyzed individually.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sz w:val="24"/>
          <w:szCs w:val="24"/>
        </w:rPr>
        <w:t xml:space="preserve">The lowest overall group mean occurred in the history section (mean = 3.2078) and the highest overall mean in </w:t>
      </w:r>
      <w:r w:rsidR="006D0FDB">
        <w:rPr>
          <w:rFonts w:ascii="Times New Roman" w:eastAsia="Calibri" w:hAnsi="Times New Roman" w:cs="Times New Roman"/>
          <w:sz w:val="24"/>
          <w:szCs w:val="24"/>
        </w:rPr>
        <w:t xml:space="preserve">the </w:t>
      </w:r>
      <w:r w:rsidRPr="0068288A">
        <w:rPr>
          <w:rFonts w:ascii="Times New Roman" w:eastAsia="Calibri" w:hAnsi="Times New Roman" w:cs="Times New Roman"/>
          <w:sz w:val="24"/>
          <w:szCs w:val="24"/>
        </w:rPr>
        <w:t xml:space="preserve">dermatome testing </w:t>
      </w:r>
      <w:r w:rsidR="006D0FDB">
        <w:rPr>
          <w:rFonts w:ascii="Times New Roman" w:eastAsia="Calibri" w:hAnsi="Times New Roman" w:cs="Times New Roman"/>
          <w:sz w:val="24"/>
          <w:szCs w:val="24"/>
        </w:rPr>
        <w:t xml:space="preserve">section </w:t>
      </w:r>
      <w:r w:rsidRPr="0068288A">
        <w:rPr>
          <w:rFonts w:ascii="Times New Roman" w:eastAsia="Calibri" w:hAnsi="Times New Roman" w:cs="Times New Roman"/>
          <w:sz w:val="24"/>
          <w:szCs w:val="24"/>
        </w:rPr>
        <w:t xml:space="preserve">(mean = 4.4194). </w:t>
      </w:r>
      <w:r w:rsidR="005C18EA">
        <w:rPr>
          <w:rFonts w:ascii="Times New Roman" w:eastAsia="Calibri" w:hAnsi="Times New Roman" w:cs="Times New Roman"/>
          <w:sz w:val="24"/>
          <w:szCs w:val="24"/>
        </w:rPr>
        <w:t xml:space="preserve"> </w:t>
      </w:r>
      <w:r w:rsidR="006D0FDB">
        <w:rPr>
          <w:rFonts w:ascii="Times New Roman" w:eastAsia="Calibri" w:hAnsi="Times New Roman" w:cs="Times New Roman"/>
          <w:sz w:val="24"/>
          <w:szCs w:val="24"/>
        </w:rPr>
        <w:t>Fellowship-</w:t>
      </w:r>
      <w:r w:rsidRPr="0068288A">
        <w:rPr>
          <w:rFonts w:ascii="Times New Roman" w:eastAsia="Calibri" w:hAnsi="Times New Roman" w:cs="Times New Roman"/>
          <w:sz w:val="24"/>
          <w:szCs w:val="24"/>
        </w:rPr>
        <w:t xml:space="preserve">trained PTs valued the test item cluster for cervical radiculopathy (cervical distraction, cervical rotation &lt;60°, upper limb tension test: general, and </w:t>
      </w:r>
      <w:proofErr w:type="spellStart"/>
      <w:r w:rsidRPr="0068288A">
        <w:rPr>
          <w:rFonts w:ascii="Times New Roman" w:eastAsia="Calibri" w:hAnsi="Times New Roman" w:cs="Times New Roman"/>
          <w:sz w:val="24"/>
          <w:szCs w:val="24"/>
        </w:rPr>
        <w:t>Spurling’s</w:t>
      </w:r>
      <w:proofErr w:type="spellEnd"/>
      <w:r w:rsidRPr="0068288A">
        <w:rPr>
          <w:rFonts w:ascii="Times New Roman" w:eastAsia="Calibri" w:hAnsi="Times New Roman" w:cs="Times New Roman"/>
          <w:sz w:val="24"/>
          <w:szCs w:val="24"/>
        </w:rPr>
        <w:t xml:space="preserve"> test) with an o</w:t>
      </w:r>
      <w:r w:rsidR="00A86154">
        <w:rPr>
          <w:rFonts w:ascii="Times New Roman" w:eastAsia="Calibri" w:hAnsi="Times New Roman" w:cs="Times New Roman"/>
          <w:sz w:val="24"/>
          <w:szCs w:val="24"/>
        </w:rPr>
        <w:t>verall mean of 4.6589</w:t>
      </w:r>
      <w:r w:rsidRPr="0068288A">
        <w:rPr>
          <w:rFonts w:ascii="Times New Roman" w:eastAsia="Calibri" w:hAnsi="Times New Roman" w:cs="Times New Roman"/>
          <w:sz w:val="24"/>
          <w:szCs w:val="24"/>
        </w:rPr>
        <w:t xml:space="preserve"> as well as high emphasis on symptom provocative active range of motion (AROM) exam components.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b/>
          <w:sz w:val="24"/>
          <w:szCs w:val="24"/>
        </w:rPr>
        <w:t>DISCUSSION:</w:t>
      </w:r>
      <w:r w:rsidRPr="0068288A">
        <w:rPr>
          <w:rFonts w:ascii="Times New Roman" w:eastAsia="Calibri" w:hAnsi="Times New Roman" w:cs="Times New Roman"/>
          <w:sz w:val="24"/>
          <w:szCs w:val="24"/>
        </w:rPr>
        <w:t xml:space="preserve"> Given a diagnosis </w:t>
      </w:r>
      <w:r w:rsidR="00A86154">
        <w:rPr>
          <w:rFonts w:ascii="Times New Roman" w:eastAsia="Calibri" w:hAnsi="Times New Roman" w:cs="Times New Roman"/>
          <w:sz w:val="24"/>
          <w:szCs w:val="24"/>
        </w:rPr>
        <w:t>of C6 radiculopathy, fellowship-</w:t>
      </w:r>
      <w:r w:rsidRPr="0068288A">
        <w:rPr>
          <w:rFonts w:ascii="Times New Roman" w:eastAsia="Calibri" w:hAnsi="Times New Roman" w:cs="Times New Roman"/>
          <w:sz w:val="24"/>
          <w:szCs w:val="24"/>
        </w:rPr>
        <w:t xml:space="preserve">trained PTs placed emphasis on the neurological, dermatomal, and deep tendon reflex findings at the corresponding C6 level as part of their clinical reasoning model.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sz w:val="24"/>
          <w:szCs w:val="24"/>
        </w:rPr>
        <w:t xml:space="preserve">Additionally, they valued provocative AROM findings as well as the test item cluster when ruling in or ruling out cervical radiculopathy as a diagnosis.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b/>
          <w:sz w:val="24"/>
          <w:szCs w:val="24"/>
        </w:rPr>
        <w:t>CONCLUSION</w:t>
      </w:r>
      <w:r w:rsidR="005C18EA">
        <w:rPr>
          <w:rFonts w:ascii="Times New Roman" w:eastAsia="Calibri" w:hAnsi="Times New Roman" w:cs="Times New Roman"/>
          <w:b/>
          <w:sz w:val="24"/>
          <w:szCs w:val="24"/>
        </w:rPr>
        <w:t>S</w:t>
      </w:r>
      <w:r w:rsidRPr="0068288A">
        <w:rPr>
          <w:rFonts w:ascii="Times New Roman" w:eastAsia="Calibri" w:hAnsi="Times New Roman" w:cs="Times New Roman"/>
          <w:b/>
          <w:sz w:val="24"/>
          <w:szCs w:val="24"/>
        </w:rPr>
        <w:t>:</w:t>
      </w:r>
      <w:r w:rsidRPr="0068288A">
        <w:rPr>
          <w:rFonts w:ascii="Times New Roman" w:eastAsia="Calibri" w:hAnsi="Times New Roman" w:cs="Times New Roman"/>
          <w:sz w:val="24"/>
          <w:szCs w:val="24"/>
        </w:rPr>
        <w:t xml:space="preserve"> The clinical reasoning p</w:t>
      </w:r>
      <w:r w:rsidR="00A86154">
        <w:rPr>
          <w:rFonts w:ascii="Times New Roman" w:eastAsia="Calibri" w:hAnsi="Times New Roman" w:cs="Times New Roman"/>
          <w:sz w:val="24"/>
          <w:szCs w:val="24"/>
        </w:rPr>
        <w:t>rocesses utilized by fellowship-</w:t>
      </w:r>
      <w:r w:rsidRPr="0068288A">
        <w:rPr>
          <w:rFonts w:ascii="Times New Roman" w:eastAsia="Calibri" w:hAnsi="Times New Roman" w:cs="Times New Roman"/>
          <w:sz w:val="24"/>
          <w:szCs w:val="24"/>
        </w:rPr>
        <w:t xml:space="preserve">trained PTs when examining a cervical radiculopathy case presentation included value of neurological findings as well as symptom provocative tests. </w:t>
      </w:r>
      <w:r w:rsidR="005C18EA">
        <w:rPr>
          <w:rFonts w:ascii="Times New Roman" w:eastAsia="Calibri" w:hAnsi="Times New Roman" w:cs="Times New Roman"/>
          <w:sz w:val="24"/>
          <w:szCs w:val="24"/>
        </w:rPr>
        <w:t xml:space="preserve"> </w:t>
      </w:r>
      <w:r w:rsidR="00A86154">
        <w:rPr>
          <w:rFonts w:ascii="Times New Roman" w:eastAsia="Calibri" w:hAnsi="Times New Roman" w:cs="Times New Roman"/>
          <w:sz w:val="24"/>
          <w:szCs w:val="24"/>
        </w:rPr>
        <w:t>This suggests that fellowship-</w:t>
      </w:r>
      <w:r w:rsidRPr="0068288A">
        <w:rPr>
          <w:rFonts w:ascii="Times New Roman" w:eastAsia="Calibri" w:hAnsi="Times New Roman" w:cs="Times New Roman"/>
          <w:sz w:val="24"/>
          <w:szCs w:val="24"/>
        </w:rPr>
        <w:t>trained PTs utiliz</w:t>
      </w:r>
      <w:r w:rsidR="00A86154">
        <w:rPr>
          <w:rFonts w:ascii="Times New Roman" w:eastAsia="Calibri" w:hAnsi="Times New Roman" w:cs="Times New Roman"/>
          <w:sz w:val="24"/>
          <w:szCs w:val="24"/>
        </w:rPr>
        <w:t>ed</w:t>
      </w:r>
      <w:r w:rsidRPr="0068288A">
        <w:rPr>
          <w:rFonts w:ascii="Times New Roman" w:eastAsia="Calibri" w:hAnsi="Times New Roman" w:cs="Times New Roman"/>
          <w:sz w:val="24"/>
          <w:szCs w:val="24"/>
        </w:rPr>
        <w:t xml:space="preserve"> clinical reasoning decisions to select physical exam tests that were the most likely to stress irritated tissues or iden</w:t>
      </w:r>
      <w:r w:rsidR="00A86154">
        <w:rPr>
          <w:rFonts w:ascii="Times New Roman" w:eastAsia="Calibri" w:hAnsi="Times New Roman" w:cs="Times New Roman"/>
          <w:sz w:val="24"/>
          <w:szCs w:val="24"/>
        </w:rPr>
        <w:t xml:space="preserve">tify signs or symptoms </w:t>
      </w:r>
      <w:r w:rsidRPr="0068288A">
        <w:rPr>
          <w:rFonts w:ascii="Times New Roman" w:eastAsia="Calibri" w:hAnsi="Times New Roman" w:cs="Times New Roman"/>
          <w:sz w:val="24"/>
          <w:szCs w:val="24"/>
        </w:rPr>
        <w:t xml:space="preserve">commonly found with a radiculopathy. </w:t>
      </w:r>
      <w:r w:rsidR="005C18EA">
        <w:rPr>
          <w:rFonts w:ascii="Times New Roman" w:eastAsia="Calibri" w:hAnsi="Times New Roman" w:cs="Times New Roman"/>
          <w:sz w:val="24"/>
          <w:szCs w:val="24"/>
        </w:rPr>
        <w:t xml:space="preserve"> </w:t>
      </w:r>
      <w:r w:rsidRPr="0068288A">
        <w:rPr>
          <w:rFonts w:ascii="Times New Roman" w:eastAsia="Calibri" w:hAnsi="Times New Roman" w:cs="Times New Roman"/>
          <w:sz w:val="24"/>
          <w:szCs w:val="24"/>
        </w:rPr>
        <w:t>Future studies should be completed with a larger sample of therapists and comp</w:t>
      </w:r>
      <w:r>
        <w:rPr>
          <w:rFonts w:ascii="Times New Roman" w:eastAsia="Calibri" w:hAnsi="Times New Roman" w:cs="Times New Roman"/>
          <w:sz w:val="24"/>
          <w:szCs w:val="24"/>
        </w:rPr>
        <w:t>arisons made between fellowship-trained, residency-</w:t>
      </w:r>
      <w:r w:rsidR="00A86154">
        <w:rPr>
          <w:rFonts w:ascii="Times New Roman" w:eastAsia="Calibri" w:hAnsi="Times New Roman" w:cs="Times New Roman"/>
          <w:sz w:val="24"/>
          <w:szCs w:val="24"/>
        </w:rPr>
        <w:t xml:space="preserve">trained </w:t>
      </w:r>
      <w:r w:rsidRPr="0068288A">
        <w:rPr>
          <w:rFonts w:ascii="Times New Roman" w:eastAsia="Calibri" w:hAnsi="Times New Roman" w:cs="Times New Roman"/>
          <w:sz w:val="24"/>
          <w:szCs w:val="24"/>
        </w:rPr>
        <w:t>therapis</w:t>
      </w:r>
      <w:r w:rsidR="00A86154">
        <w:rPr>
          <w:rFonts w:ascii="Times New Roman" w:eastAsia="Calibri" w:hAnsi="Times New Roman" w:cs="Times New Roman"/>
          <w:sz w:val="24"/>
          <w:szCs w:val="24"/>
        </w:rPr>
        <w:t>ts with advanced certifications</w:t>
      </w:r>
      <w:r w:rsidRPr="0068288A">
        <w:rPr>
          <w:rFonts w:ascii="Times New Roman" w:eastAsia="Calibri" w:hAnsi="Times New Roman" w:cs="Times New Roman"/>
          <w:sz w:val="24"/>
          <w:szCs w:val="24"/>
        </w:rPr>
        <w:t xml:space="preserve"> and general practitioners when examining a patient with the same case.  </w:t>
      </w:r>
      <w:r w:rsidRPr="0068288A">
        <w:rPr>
          <w:rFonts w:ascii="Times New Roman" w:eastAsia="Calibri" w:hAnsi="Times New Roman" w:cs="Times New Roman"/>
          <w:b/>
          <w:sz w:val="24"/>
          <w:szCs w:val="24"/>
        </w:rPr>
        <w:t>ACKNOWLEDGEMENTS:</w:t>
      </w:r>
      <w:r w:rsidRPr="0068288A">
        <w:rPr>
          <w:rFonts w:ascii="Times New Roman" w:eastAsia="Calibri" w:hAnsi="Times New Roman" w:cs="Times New Roman"/>
          <w:sz w:val="24"/>
          <w:szCs w:val="24"/>
        </w:rPr>
        <w:t xml:space="preserve"> Paul Stephenson and Sango Otieno from the Statistical Consulting Center at Grand Valley State University for their stati</w:t>
      </w:r>
      <w:r w:rsidR="005C18EA">
        <w:rPr>
          <w:rFonts w:ascii="Times New Roman" w:eastAsia="Calibri" w:hAnsi="Times New Roman" w:cs="Times New Roman"/>
          <w:sz w:val="24"/>
          <w:szCs w:val="24"/>
        </w:rPr>
        <w:t xml:space="preserve">stical expertise as well as </w:t>
      </w:r>
      <w:r w:rsidRPr="0068288A">
        <w:rPr>
          <w:rFonts w:ascii="Times New Roman" w:eastAsia="Calibri" w:hAnsi="Times New Roman" w:cs="Times New Roman"/>
          <w:sz w:val="24"/>
          <w:szCs w:val="24"/>
        </w:rPr>
        <w:t>Dan Vaughn, the Grand Valley State University Physical Therapy Department Chair</w:t>
      </w:r>
      <w:r w:rsidR="005C18EA">
        <w:rPr>
          <w:rFonts w:ascii="Times New Roman" w:eastAsia="Calibri" w:hAnsi="Times New Roman" w:cs="Times New Roman"/>
          <w:sz w:val="24"/>
          <w:szCs w:val="24"/>
        </w:rPr>
        <w:t>,</w:t>
      </w:r>
      <w:r w:rsidRPr="0068288A">
        <w:rPr>
          <w:rFonts w:ascii="Times New Roman" w:eastAsia="Calibri" w:hAnsi="Times New Roman" w:cs="Times New Roman"/>
          <w:sz w:val="24"/>
          <w:szCs w:val="24"/>
        </w:rPr>
        <w:t xml:space="preserve"> for his expertise in manual therapy.</w:t>
      </w:r>
      <w:r w:rsidR="005A0B0F" w:rsidRPr="005A0B0F">
        <w:rPr>
          <w:rFonts w:ascii="Times New Roman" w:eastAsia="Calibri" w:hAnsi="Times New Roman" w:cs="Times New Roman"/>
          <w:sz w:val="24"/>
          <w:szCs w:val="24"/>
        </w:rPr>
        <w:tab/>
      </w:r>
    </w:p>
    <w:p w:rsidR="005A0B0F" w:rsidRPr="005C18EA" w:rsidRDefault="005A0B0F" w:rsidP="006C28BB">
      <w:pPr>
        <w:spacing w:after="0" w:line="240" w:lineRule="auto"/>
        <w:rPr>
          <w:rFonts w:ascii="Times New Roman" w:eastAsia="Calibri" w:hAnsi="Times New Roman" w:cs="Times New Roman"/>
          <w:sz w:val="24"/>
          <w:szCs w:val="24"/>
        </w:rPr>
      </w:pPr>
      <w:r w:rsidRPr="00122BD6">
        <w:rPr>
          <w:rFonts w:ascii="Times New Roman" w:eastAsia="Calibri" w:hAnsi="Times New Roman" w:cs="Times New Roman"/>
          <w:b/>
          <w:sz w:val="24"/>
          <w:szCs w:val="24"/>
        </w:rPr>
        <w:lastRenderedPageBreak/>
        <w:t>REHABILITATION FOLLOWING A COMPLEX ACETABULAR LABRAL RECONSTRUCTION AND REVISION OSTEOPLASTY: A CASE REPORT</w:t>
      </w:r>
      <w:r w:rsidR="00122BD6" w:rsidRPr="00122BD6">
        <w:rPr>
          <w:rFonts w:ascii="Times New Roman" w:eastAsia="Calibri" w:hAnsi="Times New Roman" w:cs="Times New Roman"/>
          <w:b/>
          <w:sz w:val="24"/>
          <w:szCs w:val="24"/>
        </w:rPr>
        <w:t>.</w:t>
      </w:r>
      <w:r w:rsidR="00122BD6">
        <w:rPr>
          <w:rFonts w:ascii="Times New Roman" w:eastAsia="Calibri" w:hAnsi="Times New Roman" w:cs="Times New Roman"/>
          <w:b/>
          <w:sz w:val="24"/>
          <w:szCs w:val="24"/>
        </w:rPr>
        <w:t xml:space="preserve"> </w:t>
      </w:r>
      <w:r w:rsidR="00122BD6">
        <w:rPr>
          <w:rFonts w:ascii="Times New Roman" w:eastAsia="Calibri" w:hAnsi="Times New Roman" w:cs="Times New Roman"/>
          <w:sz w:val="24"/>
          <w:szCs w:val="24"/>
        </w:rPr>
        <w:t xml:space="preserve">Van Hoven EL, Green MN, Walsh </w:t>
      </w:r>
      <w:r w:rsidRPr="005A0B0F">
        <w:rPr>
          <w:rFonts w:ascii="Times New Roman" w:eastAsia="Calibri" w:hAnsi="Times New Roman" w:cs="Times New Roman"/>
          <w:sz w:val="24"/>
          <w:szCs w:val="24"/>
        </w:rPr>
        <w:t>GR</w:t>
      </w:r>
      <w:r w:rsidR="00122BD6">
        <w:rPr>
          <w:rFonts w:ascii="Times New Roman" w:eastAsia="Calibri" w:hAnsi="Times New Roman" w:cs="Times New Roman"/>
          <w:sz w:val="24"/>
          <w:szCs w:val="24"/>
        </w:rPr>
        <w:t>; Grand Valley State University, Grand Rapids, MI.</w:t>
      </w:r>
    </w:p>
    <w:p w:rsidR="005A0B0F" w:rsidRPr="005A0B0F" w:rsidRDefault="005A0B0F" w:rsidP="006C28BB">
      <w:pPr>
        <w:spacing w:after="0" w:line="240" w:lineRule="auto"/>
        <w:rPr>
          <w:rFonts w:ascii="Times New Roman" w:eastAsia="Calibri" w:hAnsi="Times New Roman" w:cs="Times New Roman"/>
          <w:sz w:val="24"/>
          <w:szCs w:val="24"/>
        </w:rPr>
      </w:pPr>
    </w:p>
    <w:p w:rsidR="005A0B0F" w:rsidRDefault="005A0B0F" w:rsidP="006C28BB">
      <w:pPr>
        <w:spacing w:after="0" w:line="240" w:lineRule="auto"/>
        <w:rPr>
          <w:rFonts w:ascii="Times New Roman" w:eastAsia="Calibri" w:hAnsi="Times New Roman" w:cs="Times New Roman"/>
          <w:sz w:val="24"/>
          <w:szCs w:val="24"/>
        </w:rPr>
      </w:pPr>
      <w:r w:rsidRPr="0070192E">
        <w:rPr>
          <w:rFonts w:ascii="Times New Roman" w:eastAsia="Calibri" w:hAnsi="Times New Roman" w:cs="Times New Roman"/>
          <w:b/>
          <w:sz w:val="24"/>
          <w:szCs w:val="24"/>
        </w:rPr>
        <w:t>BACKGROUND AND PURPOSE:</w:t>
      </w:r>
      <w:r w:rsidRPr="005A0B0F">
        <w:rPr>
          <w:rFonts w:ascii="Times New Roman" w:eastAsia="Calibri" w:hAnsi="Times New Roman" w:cs="Times New Roman"/>
          <w:sz w:val="24"/>
          <w:szCs w:val="24"/>
        </w:rPr>
        <w:t xml:space="preserve"> Over the past decade, the treatment of hip pathologies in the younger, active population has evolved tremendously.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Acetabular labral tears and </w:t>
      </w:r>
      <w:proofErr w:type="spellStart"/>
      <w:r w:rsidRPr="005A0B0F">
        <w:rPr>
          <w:rFonts w:ascii="Times New Roman" w:eastAsia="Calibri" w:hAnsi="Times New Roman" w:cs="Times New Roman"/>
          <w:sz w:val="24"/>
          <w:szCs w:val="24"/>
        </w:rPr>
        <w:t>femoroacetabular</w:t>
      </w:r>
      <w:proofErr w:type="spellEnd"/>
      <w:r w:rsidRPr="005A0B0F">
        <w:rPr>
          <w:rFonts w:ascii="Times New Roman" w:eastAsia="Calibri" w:hAnsi="Times New Roman" w:cs="Times New Roman"/>
          <w:sz w:val="24"/>
          <w:szCs w:val="24"/>
        </w:rPr>
        <w:t xml:space="preserve"> impingement (FAI) are two increasingly recognized sources of hip pain that can be successfully treated with surgical intervention aimed at preserving the integrity and function of the hip joint.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In most individuals</w:t>
      </w:r>
      <w:r w:rsidR="00772D45">
        <w:rPr>
          <w:rFonts w:ascii="Times New Roman" w:eastAsia="Calibri" w:hAnsi="Times New Roman" w:cs="Times New Roman"/>
          <w:sz w:val="24"/>
          <w:szCs w:val="24"/>
        </w:rPr>
        <w:t>, a labral repair is performed.  H</w:t>
      </w:r>
      <w:r w:rsidRPr="005A0B0F">
        <w:rPr>
          <w:rFonts w:ascii="Times New Roman" w:eastAsia="Calibri" w:hAnsi="Times New Roman" w:cs="Times New Roman"/>
          <w:sz w:val="24"/>
          <w:szCs w:val="24"/>
        </w:rPr>
        <w:t>owever</w:t>
      </w:r>
      <w:r w:rsidR="00772D45">
        <w:rPr>
          <w:rFonts w:ascii="Times New Roman" w:eastAsia="Calibri" w:hAnsi="Times New Roman" w:cs="Times New Roman"/>
          <w:sz w:val="24"/>
          <w:szCs w:val="24"/>
        </w:rPr>
        <w:t>,</w:t>
      </w:r>
      <w:r w:rsidRPr="005A0B0F">
        <w:rPr>
          <w:rFonts w:ascii="Times New Roman" w:eastAsia="Calibri" w:hAnsi="Times New Roman" w:cs="Times New Roman"/>
          <w:sz w:val="24"/>
          <w:szCs w:val="24"/>
        </w:rPr>
        <w:t xml:space="preserve"> in some unique cases</w:t>
      </w:r>
      <w:r w:rsidR="00772D45">
        <w:rPr>
          <w:rFonts w:ascii="Times New Roman" w:eastAsia="Calibri" w:hAnsi="Times New Roman" w:cs="Times New Roman"/>
          <w:sz w:val="24"/>
          <w:szCs w:val="24"/>
        </w:rPr>
        <w:t>,</w:t>
      </w:r>
      <w:r w:rsidRPr="005A0B0F">
        <w:rPr>
          <w:rFonts w:ascii="Times New Roman" w:eastAsia="Calibri" w:hAnsi="Times New Roman" w:cs="Times New Roman"/>
          <w:sz w:val="24"/>
          <w:szCs w:val="24"/>
        </w:rPr>
        <w:t xml:space="preserve"> the labrum is unsalvageable due to several possible contributing factors including degeneration, fraying, prior surgical debridement, complex tearing, or natural size.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In these cases, a labral reconstruction is required.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The aim of the present case study is to describe the examination procedures and interventions applied in the successful rehabilitation of a patient after complex labral reconstruction and joint </w:t>
      </w:r>
      <w:proofErr w:type="spellStart"/>
      <w:r w:rsidRPr="005A0B0F">
        <w:rPr>
          <w:rFonts w:ascii="Times New Roman" w:eastAsia="Calibri" w:hAnsi="Times New Roman" w:cs="Times New Roman"/>
          <w:sz w:val="24"/>
          <w:szCs w:val="24"/>
        </w:rPr>
        <w:t>osteoplasty</w:t>
      </w:r>
      <w:proofErr w:type="spellEnd"/>
      <w:r w:rsidRPr="005A0B0F">
        <w:rPr>
          <w:rFonts w:ascii="Times New Roman" w:eastAsia="Calibri" w:hAnsi="Times New Roman" w:cs="Times New Roman"/>
          <w:sz w:val="24"/>
          <w:szCs w:val="24"/>
        </w:rPr>
        <w:t xml:space="preserve">. </w:t>
      </w:r>
      <w:r w:rsidR="0070192E">
        <w:rPr>
          <w:rFonts w:ascii="Times New Roman" w:eastAsia="Calibri" w:hAnsi="Times New Roman" w:cs="Times New Roman"/>
          <w:sz w:val="24"/>
          <w:szCs w:val="24"/>
        </w:rPr>
        <w:t xml:space="preserve"> </w:t>
      </w:r>
      <w:r w:rsidRPr="0070192E">
        <w:rPr>
          <w:rFonts w:ascii="Times New Roman" w:eastAsia="Calibri" w:hAnsi="Times New Roman" w:cs="Times New Roman"/>
          <w:b/>
          <w:sz w:val="24"/>
          <w:szCs w:val="24"/>
        </w:rPr>
        <w:t>CASE DESCRIPTION:</w:t>
      </w:r>
      <w:r w:rsidR="00772D45">
        <w:rPr>
          <w:rFonts w:ascii="Times New Roman" w:eastAsia="Calibri" w:hAnsi="Times New Roman" w:cs="Times New Roman"/>
          <w:sz w:val="24"/>
          <w:szCs w:val="24"/>
        </w:rPr>
        <w:t xml:space="preserve"> The present case involves</w:t>
      </w:r>
      <w:r w:rsidRPr="005A0B0F">
        <w:rPr>
          <w:rFonts w:ascii="Times New Roman" w:eastAsia="Calibri" w:hAnsi="Times New Roman" w:cs="Times New Roman"/>
          <w:sz w:val="24"/>
          <w:szCs w:val="24"/>
        </w:rPr>
        <w:t xml:space="preserve"> a 36-year-old female who underwent a labral re</w:t>
      </w:r>
      <w:r w:rsidR="00772D45">
        <w:rPr>
          <w:rFonts w:ascii="Times New Roman" w:eastAsia="Calibri" w:hAnsi="Times New Roman" w:cs="Times New Roman"/>
          <w:sz w:val="24"/>
          <w:szCs w:val="24"/>
        </w:rPr>
        <w:t>construction using an allograft</w:t>
      </w:r>
      <w:r w:rsidRPr="005A0B0F">
        <w:rPr>
          <w:rFonts w:ascii="Times New Roman" w:eastAsia="Calibri" w:hAnsi="Times New Roman" w:cs="Times New Roman"/>
          <w:sz w:val="24"/>
          <w:szCs w:val="24"/>
        </w:rPr>
        <w:t xml:space="preserve"> in addition to </w:t>
      </w:r>
      <w:r w:rsidR="00772D45">
        <w:rPr>
          <w:rFonts w:ascii="Times New Roman" w:eastAsia="Calibri" w:hAnsi="Times New Roman" w:cs="Times New Roman"/>
          <w:sz w:val="24"/>
          <w:szCs w:val="24"/>
        </w:rPr>
        <w:t xml:space="preserve">a </w:t>
      </w:r>
      <w:r w:rsidRPr="005A0B0F">
        <w:rPr>
          <w:rFonts w:ascii="Times New Roman" w:eastAsia="Calibri" w:hAnsi="Times New Roman" w:cs="Times New Roman"/>
          <w:sz w:val="24"/>
          <w:szCs w:val="24"/>
        </w:rPr>
        <w:t xml:space="preserve">significant revision </w:t>
      </w:r>
      <w:proofErr w:type="spellStart"/>
      <w:r w:rsidRPr="005A0B0F">
        <w:rPr>
          <w:rFonts w:ascii="Times New Roman" w:eastAsia="Calibri" w:hAnsi="Times New Roman" w:cs="Times New Roman"/>
          <w:sz w:val="24"/>
          <w:szCs w:val="24"/>
        </w:rPr>
        <w:t>osteoplasty</w:t>
      </w:r>
      <w:proofErr w:type="spellEnd"/>
      <w:r w:rsidRPr="005A0B0F">
        <w:rPr>
          <w:rFonts w:ascii="Times New Roman" w:eastAsia="Calibri" w:hAnsi="Times New Roman" w:cs="Times New Roman"/>
          <w:sz w:val="24"/>
          <w:szCs w:val="24"/>
        </w:rPr>
        <w:t xml:space="preserve">.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This was preceded by an arthrosco</w:t>
      </w:r>
      <w:r w:rsidR="00772D45">
        <w:rPr>
          <w:rFonts w:ascii="Times New Roman" w:eastAsia="Calibri" w:hAnsi="Times New Roman" w:cs="Times New Roman"/>
          <w:sz w:val="24"/>
          <w:szCs w:val="24"/>
        </w:rPr>
        <w:t>pic procedure seven years prior</w:t>
      </w:r>
      <w:r w:rsidRPr="005A0B0F">
        <w:rPr>
          <w:rFonts w:ascii="Times New Roman" w:eastAsia="Calibri" w:hAnsi="Times New Roman" w:cs="Times New Roman"/>
          <w:sz w:val="24"/>
          <w:szCs w:val="24"/>
        </w:rPr>
        <w:t xml:space="preserve"> to repair a labral tear and FAI.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During the procedure, the femoral head and neck were over-resected leading to rapid de</w:t>
      </w:r>
      <w:r w:rsidR="00772D45">
        <w:rPr>
          <w:rFonts w:ascii="Times New Roman" w:eastAsia="Calibri" w:hAnsi="Times New Roman" w:cs="Times New Roman"/>
          <w:sz w:val="24"/>
          <w:szCs w:val="24"/>
        </w:rPr>
        <w:t>generative changes in the joint</w:t>
      </w:r>
      <w:r w:rsidRPr="005A0B0F">
        <w:rPr>
          <w:rFonts w:ascii="Times New Roman" w:eastAsia="Calibri" w:hAnsi="Times New Roman" w:cs="Times New Roman"/>
          <w:sz w:val="24"/>
          <w:szCs w:val="24"/>
        </w:rPr>
        <w:t xml:space="preserve"> including the labrum.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Ove</w:t>
      </w:r>
      <w:r w:rsidR="00772D45">
        <w:rPr>
          <w:rFonts w:ascii="Times New Roman" w:eastAsia="Calibri" w:hAnsi="Times New Roman" w:cs="Times New Roman"/>
          <w:sz w:val="24"/>
          <w:szCs w:val="24"/>
        </w:rPr>
        <w:t>r the course of 10</w:t>
      </w:r>
      <w:r w:rsidRPr="005A0B0F">
        <w:rPr>
          <w:rFonts w:ascii="Times New Roman" w:eastAsia="Calibri" w:hAnsi="Times New Roman" w:cs="Times New Roman"/>
          <w:sz w:val="24"/>
          <w:szCs w:val="24"/>
        </w:rPr>
        <w:t xml:space="preserve"> weeks in physical therapy, the patient progressed from toe-touch weight bearing using bilateral crutches to advanced functional strengthening and return to work.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Intervention included the application of therapeutic exercise, manual therapy techniques, and neuromuscular electrical stimulation to facilitate gluteal activation. </w:t>
      </w:r>
      <w:r w:rsidR="0070192E">
        <w:rPr>
          <w:rFonts w:ascii="Times New Roman" w:eastAsia="Calibri" w:hAnsi="Times New Roman" w:cs="Times New Roman"/>
          <w:sz w:val="24"/>
          <w:szCs w:val="24"/>
        </w:rPr>
        <w:t xml:space="preserve"> </w:t>
      </w:r>
      <w:r w:rsidRPr="0070192E">
        <w:rPr>
          <w:rFonts w:ascii="Times New Roman" w:eastAsia="Calibri" w:hAnsi="Times New Roman" w:cs="Times New Roman"/>
          <w:b/>
          <w:sz w:val="24"/>
          <w:szCs w:val="24"/>
        </w:rPr>
        <w:t>OUTCOMES:</w:t>
      </w:r>
      <w:r w:rsidRPr="005A0B0F">
        <w:rPr>
          <w:rFonts w:ascii="Times New Roman" w:eastAsia="Calibri" w:hAnsi="Times New Roman" w:cs="Times New Roman"/>
          <w:sz w:val="24"/>
          <w:szCs w:val="24"/>
        </w:rPr>
        <w:t xml:space="preserve"> Progress measures including manual muscle testing (MMT), range of motion (ROM), the Lower E</w:t>
      </w:r>
      <w:r w:rsidR="00772D45">
        <w:rPr>
          <w:rFonts w:ascii="Times New Roman" w:eastAsia="Calibri" w:hAnsi="Times New Roman" w:cs="Times New Roman"/>
          <w:sz w:val="24"/>
          <w:szCs w:val="24"/>
        </w:rPr>
        <w:t>xtremity Functional Scale, and the Hip Outcome Score (</w:t>
      </w:r>
      <w:r w:rsidRPr="005A0B0F">
        <w:rPr>
          <w:rFonts w:ascii="Times New Roman" w:eastAsia="Calibri" w:hAnsi="Times New Roman" w:cs="Times New Roman"/>
          <w:sz w:val="24"/>
          <w:szCs w:val="24"/>
        </w:rPr>
        <w:t>which has been found valid and reliable specific to labral tea</w:t>
      </w:r>
      <w:r w:rsidR="00772D45">
        <w:rPr>
          <w:rFonts w:ascii="Times New Roman" w:eastAsia="Calibri" w:hAnsi="Times New Roman" w:cs="Times New Roman"/>
          <w:sz w:val="24"/>
          <w:szCs w:val="24"/>
        </w:rPr>
        <w:t>rs, FAI</w:t>
      </w:r>
      <w:r w:rsidRPr="005A0B0F">
        <w:rPr>
          <w:rFonts w:ascii="Times New Roman" w:eastAsia="Calibri" w:hAnsi="Times New Roman" w:cs="Times New Roman"/>
          <w:sz w:val="24"/>
          <w:szCs w:val="24"/>
        </w:rPr>
        <w:t>, and hip arthroscopy</w:t>
      </w:r>
      <w:r w:rsidR="00772D45">
        <w:rPr>
          <w:rFonts w:ascii="Times New Roman" w:eastAsia="Calibri" w:hAnsi="Times New Roman" w:cs="Times New Roman"/>
          <w:sz w:val="24"/>
          <w:szCs w:val="24"/>
        </w:rPr>
        <w:t>)</w:t>
      </w:r>
      <w:r w:rsidRPr="005A0B0F">
        <w:rPr>
          <w:rFonts w:ascii="Times New Roman" w:eastAsia="Calibri" w:hAnsi="Times New Roman" w:cs="Times New Roman"/>
          <w:sz w:val="24"/>
          <w:szCs w:val="24"/>
        </w:rPr>
        <w:t xml:space="preserve"> were utilized.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At discharge, the patient had obtained functional ROM and strength which enabled her to perform many high-level strengthening activities.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Outcome measure</w:t>
      </w:r>
      <w:r w:rsidR="00771A6D">
        <w:rPr>
          <w:rFonts w:ascii="Times New Roman" w:eastAsia="Calibri" w:hAnsi="Times New Roman" w:cs="Times New Roman"/>
          <w:sz w:val="24"/>
          <w:szCs w:val="24"/>
        </w:rPr>
        <w:t>s indicated 20-40% disability.  H</w:t>
      </w:r>
      <w:r w:rsidRPr="005A0B0F">
        <w:rPr>
          <w:rFonts w:ascii="Times New Roman" w:eastAsia="Calibri" w:hAnsi="Times New Roman" w:cs="Times New Roman"/>
          <w:sz w:val="24"/>
          <w:szCs w:val="24"/>
        </w:rPr>
        <w:t>owever</w:t>
      </w:r>
      <w:r w:rsidR="00771A6D">
        <w:rPr>
          <w:rFonts w:ascii="Times New Roman" w:eastAsia="Calibri" w:hAnsi="Times New Roman" w:cs="Times New Roman"/>
          <w:sz w:val="24"/>
          <w:szCs w:val="24"/>
        </w:rPr>
        <w:t>,</w:t>
      </w:r>
      <w:r w:rsidRPr="005A0B0F">
        <w:rPr>
          <w:rFonts w:ascii="Times New Roman" w:eastAsia="Calibri" w:hAnsi="Times New Roman" w:cs="Times New Roman"/>
          <w:sz w:val="24"/>
          <w:szCs w:val="24"/>
        </w:rPr>
        <w:t xml:space="preserve"> much of this</w:t>
      </w:r>
      <w:r w:rsidR="00772D45">
        <w:rPr>
          <w:rFonts w:ascii="Times New Roman" w:eastAsia="Calibri" w:hAnsi="Times New Roman" w:cs="Times New Roman"/>
          <w:sz w:val="24"/>
          <w:szCs w:val="24"/>
        </w:rPr>
        <w:t xml:space="preserve"> residual disability</w:t>
      </w:r>
      <w:r w:rsidRPr="005A0B0F">
        <w:rPr>
          <w:rFonts w:ascii="Times New Roman" w:eastAsia="Calibri" w:hAnsi="Times New Roman" w:cs="Times New Roman"/>
          <w:sz w:val="24"/>
          <w:szCs w:val="24"/>
        </w:rPr>
        <w:t xml:space="preserve"> was related to recreational activities from which the physician advised the patient to abstain in order to best preserve the reconstructed joint. </w:t>
      </w:r>
      <w:r w:rsidR="0070192E">
        <w:rPr>
          <w:rFonts w:ascii="Times New Roman" w:eastAsia="Calibri" w:hAnsi="Times New Roman" w:cs="Times New Roman"/>
          <w:sz w:val="24"/>
          <w:szCs w:val="24"/>
        </w:rPr>
        <w:t xml:space="preserve"> </w:t>
      </w:r>
      <w:r w:rsidRPr="0070192E">
        <w:rPr>
          <w:rFonts w:ascii="Times New Roman" w:eastAsia="Calibri" w:hAnsi="Times New Roman" w:cs="Times New Roman"/>
          <w:b/>
          <w:sz w:val="24"/>
          <w:szCs w:val="24"/>
        </w:rPr>
        <w:t>DISCUSSION:</w:t>
      </w:r>
      <w:r w:rsidRPr="005A0B0F">
        <w:rPr>
          <w:rFonts w:ascii="Times New Roman" w:eastAsia="Calibri" w:hAnsi="Times New Roman" w:cs="Times New Roman"/>
          <w:sz w:val="24"/>
          <w:szCs w:val="24"/>
        </w:rPr>
        <w:t xml:space="preserve"> While there is a significant body of research on rehabilitation after hip arthroscopy and reconstruction, much variability remains in the recommendations of various researchers and physicians.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From the present case, three main points about rehabilitation after complex labral reconstruction can be highlighted: </w:t>
      </w:r>
      <w:r w:rsidR="00FA7FA8">
        <w:rPr>
          <w:rFonts w:ascii="Times New Roman" w:eastAsia="Calibri" w:hAnsi="Times New Roman" w:cs="Times New Roman"/>
          <w:sz w:val="24"/>
          <w:szCs w:val="24"/>
        </w:rPr>
        <w:t xml:space="preserve">(1) </w:t>
      </w:r>
      <w:r w:rsidRPr="005A0B0F">
        <w:rPr>
          <w:rFonts w:ascii="Times New Roman" w:eastAsia="Calibri" w:hAnsi="Times New Roman" w:cs="Times New Roman"/>
          <w:sz w:val="24"/>
          <w:szCs w:val="24"/>
        </w:rPr>
        <w:t xml:space="preserve">the importance of limiting hip flexor tendonitis during rehabilitation; </w:t>
      </w:r>
      <w:r w:rsidR="00FA7FA8">
        <w:rPr>
          <w:rFonts w:ascii="Times New Roman" w:eastAsia="Calibri" w:hAnsi="Times New Roman" w:cs="Times New Roman"/>
          <w:sz w:val="24"/>
          <w:szCs w:val="24"/>
        </w:rPr>
        <w:t xml:space="preserve">(2) </w:t>
      </w:r>
      <w:r w:rsidRPr="005A0B0F">
        <w:rPr>
          <w:rFonts w:ascii="Times New Roman" w:eastAsia="Calibri" w:hAnsi="Times New Roman" w:cs="Times New Roman"/>
          <w:sz w:val="24"/>
          <w:szCs w:val="24"/>
        </w:rPr>
        <w:t xml:space="preserve">the frequent occurrence of gluteal dysfunction after hip surgery and how to address this; and </w:t>
      </w:r>
      <w:r w:rsidR="00FA7FA8">
        <w:rPr>
          <w:rFonts w:ascii="Times New Roman" w:eastAsia="Calibri" w:hAnsi="Times New Roman" w:cs="Times New Roman"/>
          <w:sz w:val="24"/>
          <w:szCs w:val="24"/>
        </w:rPr>
        <w:t xml:space="preserve">(3) </w:t>
      </w:r>
      <w:r w:rsidRPr="005A0B0F">
        <w:rPr>
          <w:rFonts w:ascii="Times New Roman" w:eastAsia="Calibri" w:hAnsi="Times New Roman" w:cs="Times New Roman"/>
          <w:sz w:val="24"/>
          <w:szCs w:val="24"/>
        </w:rPr>
        <w:t xml:space="preserve">the importance of high-quality clinical decision making in all post-surgical rehabilitation cases. </w:t>
      </w:r>
      <w:r w:rsidR="0070192E">
        <w:rPr>
          <w:rFonts w:ascii="Times New Roman" w:eastAsia="Calibri" w:hAnsi="Times New Roman" w:cs="Times New Roman"/>
          <w:sz w:val="24"/>
          <w:szCs w:val="24"/>
        </w:rPr>
        <w:t xml:space="preserve"> </w:t>
      </w:r>
      <w:r w:rsidRPr="005A0B0F">
        <w:rPr>
          <w:rFonts w:ascii="Times New Roman" w:eastAsia="Calibri" w:hAnsi="Times New Roman" w:cs="Times New Roman"/>
          <w:sz w:val="24"/>
          <w:szCs w:val="24"/>
        </w:rPr>
        <w:t xml:space="preserve">Further research is needed to develop consistent, evidence-based recommendations </w:t>
      </w:r>
      <w:r w:rsidR="00771A6D">
        <w:rPr>
          <w:rFonts w:ascii="Times New Roman" w:eastAsia="Calibri" w:hAnsi="Times New Roman" w:cs="Times New Roman"/>
          <w:sz w:val="24"/>
          <w:szCs w:val="24"/>
        </w:rPr>
        <w:t xml:space="preserve">for rehabilitation after labral </w:t>
      </w:r>
      <w:r w:rsidRPr="005A0B0F">
        <w:rPr>
          <w:rFonts w:ascii="Times New Roman" w:eastAsia="Calibri" w:hAnsi="Times New Roman" w:cs="Times New Roman"/>
          <w:sz w:val="24"/>
          <w:szCs w:val="24"/>
        </w:rPr>
        <w:t xml:space="preserve">reconstruction. </w:t>
      </w:r>
      <w:r w:rsidR="0070192E">
        <w:rPr>
          <w:rFonts w:ascii="Times New Roman" w:eastAsia="Calibri" w:hAnsi="Times New Roman" w:cs="Times New Roman"/>
          <w:sz w:val="24"/>
          <w:szCs w:val="24"/>
        </w:rPr>
        <w:t xml:space="preserve"> </w:t>
      </w:r>
      <w:r w:rsidR="00FA7FA8">
        <w:rPr>
          <w:rFonts w:ascii="Times New Roman" w:eastAsia="Calibri" w:hAnsi="Times New Roman" w:cs="Times New Roman"/>
          <w:sz w:val="24"/>
          <w:szCs w:val="24"/>
        </w:rPr>
        <w:t>This will take time because</w:t>
      </w:r>
      <w:r w:rsidRPr="005A0B0F">
        <w:rPr>
          <w:rFonts w:ascii="Times New Roman" w:eastAsia="Calibri" w:hAnsi="Times New Roman" w:cs="Times New Roman"/>
          <w:sz w:val="24"/>
          <w:szCs w:val="24"/>
        </w:rPr>
        <w:t xml:space="preserve"> labral reconstruction remains a relatively new approach in hip preservation and </w:t>
      </w:r>
      <w:r w:rsidR="00FA7FA8">
        <w:rPr>
          <w:rFonts w:ascii="Times New Roman" w:eastAsia="Calibri" w:hAnsi="Times New Roman" w:cs="Times New Roman"/>
          <w:sz w:val="24"/>
          <w:szCs w:val="24"/>
        </w:rPr>
        <w:t>is used only in rare cases when</w:t>
      </w:r>
      <w:r w:rsidRPr="005A0B0F">
        <w:rPr>
          <w:rFonts w:ascii="Times New Roman" w:eastAsia="Calibri" w:hAnsi="Times New Roman" w:cs="Times New Roman"/>
          <w:sz w:val="24"/>
          <w:szCs w:val="24"/>
        </w:rPr>
        <w:t xml:space="preserve"> arthroscopic labral repair is not effective.</w:t>
      </w:r>
    </w:p>
    <w:p w:rsidR="005A0B0F" w:rsidRDefault="005A0B0F" w:rsidP="005A0B0F">
      <w:pPr>
        <w:spacing w:after="0" w:line="240" w:lineRule="auto"/>
        <w:rPr>
          <w:rFonts w:ascii="Times New Roman" w:eastAsia="Calibri" w:hAnsi="Times New Roman" w:cs="Times New Roman"/>
          <w:sz w:val="24"/>
          <w:szCs w:val="24"/>
        </w:rPr>
      </w:pPr>
    </w:p>
    <w:p w:rsidR="005A0B0F" w:rsidRDefault="005A0B0F" w:rsidP="005A0B0F">
      <w:pPr>
        <w:spacing w:after="0" w:line="240" w:lineRule="auto"/>
        <w:rPr>
          <w:rFonts w:ascii="Times New Roman" w:eastAsia="Calibri" w:hAnsi="Times New Roman" w:cs="Times New Roman"/>
          <w:sz w:val="24"/>
          <w:szCs w:val="24"/>
        </w:rPr>
      </w:pPr>
    </w:p>
    <w:p w:rsidR="005A0B0F" w:rsidRDefault="005A0B0F" w:rsidP="005A0B0F">
      <w:pPr>
        <w:spacing w:after="0" w:line="240" w:lineRule="auto"/>
        <w:rPr>
          <w:rFonts w:ascii="Times New Roman" w:eastAsia="Calibri" w:hAnsi="Times New Roman" w:cs="Times New Roman"/>
          <w:sz w:val="24"/>
          <w:szCs w:val="24"/>
        </w:rPr>
      </w:pPr>
    </w:p>
    <w:p w:rsidR="00577F8E" w:rsidRDefault="00577F8E" w:rsidP="00DF075B">
      <w:pPr>
        <w:spacing w:after="0" w:line="240" w:lineRule="auto"/>
        <w:rPr>
          <w:rFonts w:ascii="Times New Roman" w:eastAsia="Calibri" w:hAnsi="Times New Roman" w:cs="Times New Roman"/>
          <w:sz w:val="24"/>
          <w:szCs w:val="24"/>
        </w:rPr>
      </w:pPr>
    </w:p>
    <w:p w:rsidR="00966660" w:rsidRDefault="00966660" w:rsidP="00DF075B">
      <w:pPr>
        <w:spacing w:after="0" w:line="240" w:lineRule="auto"/>
        <w:rPr>
          <w:rFonts w:ascii="Times New Roman" w:eastAsia="Calibri" w:hAnsi="Times New Roman" w:cs="Times New Roman"/>
          <w:b/>
          <w:sz w:val="24"/>
          <w:szCs w:val="24"/>
        </w:rPr>
      </w:pPr>
    </w:p>
    <w:p w:rsidR="00577F8E" w:rsidRDefault="00577F8E" w:rsidP="00DF075B">
      <w:pPr>
        <w:spacing w:after="0" w:line="240" w:lineRule="auto"/>
        <w:rPr>
          <w:rFonts w:ascii="Times New Roman" w:eastAsia="Calibri" w:hAnsi="Times New Roman" w:cs="Times New Roman"/>
          <w:b/>
          <w:sz w:val="24"/>
          <w:szCs w:val="24"/>
        </w:rPr>
      </w:pPr>
    </w:p>
    <w:p w:rsidR="00DF075B" w:rsidRPr="00DF075B" w:rsidRDefault="00DF075B" w:rsidP="00DF075B">
      <w:pPr>
        <w:spacing w:after="0" w:line="240" w:lineRule="auto"/>
        <w:rPr>
          <w:rFonts w:ascii="Times New Roman" w:eastAsia="Calibri" w:hAnsi="Times New Roman" w:cs="Times New Roman"/>
          <w:sz w:val="24"/>
          <w:szCs w:val="24"/>
        </w:rPr>
      </w:pPr>
      <w:r w:rsidRPr="00122BD6">
        <w:rPr>
          <w:rFonts w:ascii="Times New Roman" w:eastAsia="Calibri" w:hAnsi="Times New Roman" w:cs="Times New Roman"/>
          <w:b/>
          <w:sz w:val="24"/>
          <w:szCs w:val="24"/>
        </w:rPr>
        <w:lastRenderedPageBreak/>
        <w:t>PEDIATRIC POWER MOBILITY TRAINING METHODS: A SYSTEMATIC REVIEW</w:t>
      </w:r>
      <w:r w:rsidR="00122BD6" w:rsidRPr="00122BD6">
        <w:rPr>
          <w:rFonts w:ascii="Times New Roman" w:eastAsia="Calibri" w:hAnsi="Times New Roman" w:cs="Times New Roman"/>
          <w:b/>
          <w:sz w:val="24"/>
          <w:szCs w:val="24"/>
        </w:rPr>
        <w:t>.</w:t>
      </w:r>
      <w:r w:rsidR="00122BD6">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Brewis C, Hostnik L, McElroy R, Kenyon LK, Farris J; Grand Valley State University, Grand Rapids, MI</w:t>
      </w:r>
      <w:r w:rsidR="00122BD6">
        <w:rPr>
          <w:rFonts w:ascii="Times New Roman" w:eastAsia="Calibri" w:hAnsi="Times New Roman" w:cs="Times New Roman"/>
          <w:sz w:val="24"/>
          <w:szCs w:val="24"/>
        </w:rPr>
        <w:t>.</w:t>
      </w:r>
    </w:p>
    <w:p w:rsidR="00DF075B" w:rsidRPr="00DF075B" w:rsidRDefault="00DF075B" w:rsidP="00DF075B">
      <w:pPr>
        <w:spacing w:after="0" w:line="240" w:lineRule="auto"/>
        <w:rPr>
          <w:rFonts w:ascii="Times New Roman" w:eastAsia="Calibri" w:hAnsi="Times New Roman" w:cs="Times New Roman"/>
          <w:sz w:val="24"/>
          <w:szCs w:val="24"/>
        </w:rPr>
      </w:pPr>
    </w:p>
    <w:p w:rsidR="00DF075B" w:rsidRDefault="00DF075B" w:rsidP="00DF075B">
      <w:pPr>
        <w:spacing w:after="0" w:line="240" w:lineRule="auto"/>
        <w:rPr>
          <w:rFonts w:ascii="Times New Roman" w:eastAsia="Calibri" w:hAnsi="Times New Roman" w:cs="Times New Roman"/>
          <w:sz w:val="24"/>
          <w:szCs w:val="24"/>
        </w:rPr>
      </w:pPr>
      <w:r w:rsidRPr="004F0A28">
        <w:rPr>
          <w:rFonts w:ascii="Times New Roman" w:eastAsia="Calibri" w:hAnsi="Times New Roman" w:cs="Times New Roman"/>
          <w:b/>
          <w:sz w:val="24"/>
          <w:szCs w:val="24"/>
        </w:rPr>
        <w:t>INTRODUCTION:</w:t>
      </w:r>
      <w:r w:rsidRPr="00DF075B">
        <w:rPr>
          <w:rFonts w:ascii="Times New Roman" w:eastAsia="Calibri" w:hAnsi="Times New Roman" w:cs="Times New Roman"/>
          <w:sz w:val="24"/>
          <w:szCs w:val="24"/>
        </w:rPr>
        <w:t xml:space="preserve"> Children with severe mobility limitations often lack independent mobility and must rely on others to help them explore their environment.  Power mobility is increasingly</w:t>
      </w:r>
      <w:r w:rsidR="00503A14">
        <w:rPr>
          <w:rFonts w:ascii="Times New Roman" w:eastAsia="Calibri" w:hAnsi="Times New Roman" w:cs="Times New Roman"/>
          <w:sz w:val="24"/>
          <w:szCs w:val="24"/>
        </w:rPr>
        <w:t xml:space="preserve"> being</w:t>
      </w:r>
      <w:r w:rsidRPr="00DF075B">
        <w:rPr>
          <w:rFonts w:ascii="Times New Roman" w:eastAsia="Calibri" w:hAnsi="Times New Roman" w:cs="Times New Roman"/>
          <w:sz w:val="24"/>
          <w:szCs w:val="24"/>
        </w:rPr>
        <w:t xml:space="preserve"> used to reduce the impact of restrictions in independent mobility.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The purpose of this systematic review was to summarize and critically appraise the quantitative research evidence related to power mobility training methods used with children 21 years of age and younger. </w:t>
      </w:r>
      <w:r w:rsidR="004F0A28">
        <w:rPr>
          <w:rFonts w:ascii="Times New Roman" w:eastAsia="Calibri" w:hAnsi="Times New Roman" w:cs="Times New Roman"/>
          <w:sz w:val="24"/>
          <w:szCs w:val="24"/>
        </w:rPr>
        <w:t xml:space="preserve"> </w:t>
      </w:r>
      <w:r w:rsidRPr="004F0A28">
        <w:rPr>
          <w:rFonts w:ascii="Times New Roman" w:eastAsia="Calibri" w:hAnsi="Times New Roman" w:cs="Times New Roman"/>
          <w:b/>
          <w:sz w:val="24"/>
          <w:szCs w:val="24"/>
        </w:rPr>
        <w:t>METHODS:</w:t>
      </w:r>
      <w:r w:rsidRPr="00DF075B">
        <w:rPr>
          <w:rFonts w:ascii="Times New Roman" w:eastAsia="Calibri" w:hAnsi="Times New Roman" w:cs="Times New Roman"/>
          <w:sz w:val="24"/>
          <w:szCs w:val="24"/>
        </w:rPr>
        <w:t xml:space="preserve"> This systematic review was conducted in accordance with the Assessing the Quality and Applicability of Systematic Reviews (AQA</w:t>
      </w:r>
      <w:r w:rsidR="004F0A28">
        <w:rPr>
          <w:rFonts w:ascii="Times New Roman" w:eastAsia="Calibri" w:hAnsi="Times New Roman" w:cs="Times New Roman"/>
          <w:sz w:val="24"/>
          <w:szCs w:val="24"/>
        </w:rPr>
        <w:t xml:space="preserve">SR) guidelines.  </w:t>
      </w:r>
      <w:r w:rsidRPr="00DF075B">
        <w:rPr>
          <w:rFonts w:ascii="Times New Roman" w:eastAsia="Calibri" w:hAnsi="Times New Roman" w:cs="Times New Roman"/>
          <w:sz w:val="24"/>
          <w:szCs w:val="24"/>
        </w:rPr>
        <w:t>The combined sample from included studies totaled 211 children, ages 5 months t</w:t>
      </w:r>
      <w:r w:rsidR="004F0A28">
        <w:rPr>
          <w:rFonts w:ascii="Times New Roman" w:eastAsia="Calibri" w:hAnsi="Times New Roman" w:cs="Times New Roman"/>
          <w:sz w:val="24"/>
          <w:szCs w:val="24"/>
        </w:rPr>
        <w:t xml:space="preserve">o 21 years.  </w:t>
      </w:r>
      <w:r w:rsidRPr="00DF075B">
        <w:rPr>
          <w:rFonts w:ascii="Times New Roman" w:eastAsia="Calibri" w:hAnsi="Times New Roman" w:cs="Times New Roman"/>
          <w:sz w:val="24"/>
          <w:szCs w:val="24"/>
        </w:rPr>
        <w:t xml:space="preserve">A research </w:t>
      </w:r>
      <w:r w:rsidR="00503A14">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librarian-assisted electronic literature search of 17 databases was conducted in June </w:t>
      </w:r>
      <w:r w:rsidR="00503A14">
        <w:rPr>
          <w:rFonts w:ascii="Times New Roman" w:eastAsia="Calibri" w:hAnsi="Times New Roman" w:cs="Times New Roman"/>
          <w:sz w:val="24"/>
          <w:szCs w:val="24"/>
        </w:rPr>
        <w:t xml:space="preserve">of </w:t>
      </w:r>
      <w:r w:rsidRPr="00DF075B">
        <w:rPr>
          <w:rFonts w:ascii="Times New Roman" w:eastAsia="Calibri" w:hAnsi="Times New Roman" w:cs="Times New Roman"/>
          <w:sz w:val="24"/>
          <w:szCs w:val="24"/>
        </w:rPr>
        <w:t xml:space="preserve">2015 and again in January </w:t>
      </w:r>
      <w:r w:rsidR="00503A14">
        <w:rPr>
          <w:rFonts w:ascii="Times New Roman" w:eastAsia="Calibri" w:hAnsi="Times New Roman" w:cs="Times New Roman"/>
          <w:sz w:val="24"/>
          <w:szCs w:val="24"/>
        </w:rPr>
        <w:t xml:space="preserve">of </w:t>
      </w:r>
      <w:r w:rsidRPr="00DF075B">
        <w:rPr>
          <w:rFonts w:ascii="Times New Roman" w:eastAsia="Calibri" w:hAnsi="Times New Roman" w:cs="Times New Roman"/>
          <w:sz w:val="24"/>
          <w:szCs w:val="24"/>
        </w:rPr>
        <w:t xml:space="preserve">2016.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A manual search was also </w:t>
      </w:r>
      <w:r w:rsidR="00503A14">
        <w:rPr>
          <w:rFonts w:ascii="Times New Roman" w:eastAsia="Calibri" w:hAnsi="Times New Roman" w:cs="Times New Roman"/>
          <w:sz w:val="24"/>
          <w:szCs w:val="24"/>
        </w:rPr>
        <w:t>performed.  Only primary source,</w:t>
      </w:r>
      <w:r w:rsidRPr="00DF075B">
        <w:rPr>
          <w:rFonts w:ascii="Times New Roman" w:eastAsia="Calibri" w:hAnsi="Times New Roman" w:cs="Times New Roman"/>
          <w:sz w:val="24"/>
          <w:szCs w:val="24"/>
        </w:rPr>
        <w:t xml:space="preserve"> </w:t>
      </w:r>
      <w:r w:rsidR="00503A14">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peer-reviewed quantitative studies were included in the review.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Mixed-method studies were included if the quantitative methods and data could be isol</w:t>
      </w:r>
      <w:r w:rsidR="00503A14">
        <w:rPr>
          <w:rFonts w:ascii="Times New Roman" w:eastAsia="Calibri" w:hAnsi="Times New Roman" w:cs="Times New Roman"/>
          <w:sz w:val="24"/>
          <w:szCs w:val="24"/>
        </w:rPr>
        <w:t>ated.  Inclusion criteria were at least one</w:t>
      </w:r>
      <w:r w:rsidRPr="00DF075B">
        <w:rPr>
          <w:rFonts w:ascii="Times New Roman" w:eastAsia="Calibri" w:hAnsi="Times New Roman" w:cs="Times New Roman"/>
          <w:sz w:val="24"/>
          <w:szCs w:val="24"/>
        </w:rPr>
        <w:t xml:space="preserve"> subject ≤21 years of age, </w:t>
      </w:r>
      <w:r w:rsidR="00503A14">
        <w:rPr>
          <w:rFonts w:ascii="Times New Roman" w:eastAsia="Calibri" w:hAnsi="Times New Roman" w:cs="Times New Roman"/>
          <w:sz w:val="24"/>
          <w:szCs w:val="24"/>
        </w:rPr>
        <w:t xml:space="preserve">the </w:t>
      </w:r>
      <w:r w:rsidRPr="00DF075B">
        <w:rPr>
          <w:rFonts w:ascii="Times New Roman" w:eastAsia="Calibri" w:hAnsi="Times New Roman" w:cs="Times New Roman"/>
          <w:sz w:val="24"/>
          <w:szCs w:val="24"/>
        </w:rPr>
        <w:t xml:space="preserve">use of repeatable power mobility training methods, outcomes related to power mobility training or use, and published in English.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Exclusion </w:t>
      </w:r>
      <w:r w:rsidR="00503A14">
        <w:rPr>
          <w:rFonts w:ascii="Times New Roman" w:eastAsia="Calibri" w:hAnsi="Times New Roman" w:cs="Times New Roman"/>
          <w:sz w:val="24"/>
          <w:szCs w:val="24"/>
        </w:rPr>
        <w:t>criteria were</w:t>
      </w:r>
      <w:r w:rsidRPr="00DF075B">
        <w:rPr>
          <w:rFonts w:ascii="Times New Roman" w:eastAsia="Calibri" w:hAnsi="Times New Roman" w:cs="Times New Roman"/>
          <w:sz w:val="24"/>
          <w:szCs w:val="24"/>
        </w:rPr>
        <w:t xml:space="preserve"> power mobility outcomes indistinguishable from other technologies, outcomes not specifically attributed to children, and a focus on the development of technology or measurement tools.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Screening, eligibility, and inclusion of studies were conducted in a triplicate process with disagreements resolved through consensus with a fourth reviewer.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Data extraction was performed using the McMaster's Critical Review Form for Quantitative Studies.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The Oxford Centre for Evidence-Based Medicine (OCEBM) 2011 Levels of Evidence or the Levels of Evidence for Single-Subject Research Designs (SSRDs) were used to determine levels of evidence.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The scientific rigor was evaluated using a 10-criteria scale described by </w:t>
      </w:r>
      <w:proofErr w:type="spellStart"/>
      <w:r w:rsidRPr="00DF075B">
        <w:rPr>
          <w:rFonts w:ascii="Times New Roman" w:eastAsia="Calibri" w:hAnsi="Times New Roman" w:cs="Times New Roman"/>
          <w:sz w:val="24"/>
          <w:szCs w:val="24"/>
        </w:rPr>
        <w:t>Medlicott</w:t>
      </w:r>
      <w:proofErr w:type="spellEnd"/>
      <w:r w:rsidRPr="00DF075B">
        <w:rPr>
          <w:rFonts w:ascii="Times New Roman" w:eastAsia="Calibri" w:hAnsi="Times New Roman" w:cs="Times New Roman"/>
          <w:sz w:val="24"/>
          <w:szCs w:val="24"/>
        </w:rPr>
        <w:t xml:space="preserve"> &amp; Harris. </w:t>
      </w:r>
      <w:r w:rsidR="004F0A28">
        <w:rPr>
          <w:rFonts w:ascii="Times New Roman" w:eastAsia="Calibri" w:hAnsi="Times New Roman" w:cs="Times New Roman"/>
          <w:sz w:val="24"/>
          <w:szCs w:val="24"/>
        </w:rPr>
        <w:t xml:space="preserve"> </w:t>
      </w:r>
      <w:r w:rsidRPr="004F0A28">
        <w:rPr>
          <w:rFonts w:ascii="Times New Roman" w:eastAsia="Calibri" w:hAnsi="Times New Roman" w:cs="Times New Roman"/>
          <w:b/>
          <w:sz w:val="24"/>
          <w:szCs w:val="24"/>
        </w:rPr>
        <w:t>RESULTS:</w:t>
      </w:r>
      <w:r w:rsidRPr="00DF075B">
        <w:rPr>
          <w:rFonts w:ascii="Times New Roman" w:eastAsia="Calibri" w:hAnsi="Times New Roman" w:cs="Times New Roman"/>
          <w:sz w:val="24"/>
          <w:szCs w:val="24"/>
        </w:rPr>
        <w:t xml:space="preserve"> A total of 15,337 unique citations were identified in the searches.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Of these, 27 met the inclusion/exclusion criteria for this review.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Scientific rigor scores ranged from 2-7.8 with a mean of 3.97 and a median of 3.75.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OCEBM Levels of Evidence ranged from II to IV with a total of 20 studies at a Level IV.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Two SSRDs were rated at Level V.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 xml:space="preserve">Commonly occurring concepts in power mobility training methods were identified and included incorporation of play, natural environment use, a responsive partner approach, Driving to Learn©, skills-focused training, virtual reality, and SMART wheelchair use.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Identified outcomes of power mobility training or use included improvements in specific power mobility skills as well as improvements in personal-social skills, communication, mobility, a</w:t>
      </w:r>
      <w:r w:rsidR="004F0A28">
        <w:rPr>
          <w:rFonts w:ascii="Times New Roman" w:eastAsia="Calibri" w:hAnsi="Times New Roman" w:cs="Times New Roman"/>
          <w:sz w:val="24"/>
          <w:szCs w:val="24"/>
        </w:rPr>
        <w:t xml:space="preserve">nd other developmental skills. </w:t>
      </w:r>
      <w:r w:rsidRPr="00DF075B">
        <w:rPr>
          <w:rFonts w:ascii="Times New Roman" w:eastAsia="Calibri" w:hAnsi="Times New Roman" w:cs="Times New Roman"/>
          <w:sz w:val="24"/>
          <w:szCs w:val="24"/>
        </w:rPr>
        <w:t xml:space="preserve"> </w:t>
      </w:r>
      <w:r w:rsidRPr="004F0A28">
        <w:rPr>
          <w:rFonts w:ascii="Times New Roman" w:eastAsia="Calibri" w:hAnsi="Times New Roman" w:cs="Times New Roman"/>
          <w:b/>
          <w:sz w:val="24"/>
          <w:szCs w:val="24"/>
        </w:rPr>
        <w:t>DISCUSSION:</w:t>
      </w:r>
      <w:r w:rsidRPr="00DF075B">
        <w:rPr>
          <w:rFonts w:ascii="Times New Roman" w:eastAsia="Calibri" w:hAnsi="Times New Roman" w:cs="Times New Roman"/>
          <w:sz w:val="24"/>
          <w:szCs w:val="24"/>
        </w:rPr>
        <w:t xml:space="preserve"> A wide variety of power mobility training methods were utilized in the included studies. </w:t>
      </w:r>
      <w:r w:rsidR="004F0A28">
        <w:rPr>
          <w:rFonts w:ascii="Times New Roman" w:eastAsia="Calibri" w:hAnsi="Times New Roman" w:cs="Times New Roman"/>
          <w:sz w:val="24"/>
          <w:szCs w:val="24"/>
        </w:rPr>
        <w:t xml:space="preserve"> </w:t>
      </w:r>
      <w:r w:rsidRPr="00DF075B">
        <w:rPr>
          <w:rFonts w:ascii="Times New Roman" w:eastAsia="Calibri" w:hAnsi="Times New Roman" w:cs="Times New Roman"/>
          <w:sz w:val="24"/>
          <w:szCs w:val="24"/>
        </w:rPr>
        <w:t>Frequency of training ranged from dail</w:t>
      </w:r>
      <w:r w:rsidR="00503A14">
        <w:rPr>
          <w:rFonts w:ascii="Times New Roman" w:eastAsia="Calibri" w:hAnsi="Times New Roman" w:cs="Times New Roman"/>
          <w:sz w:val="24"/>
          <w:szCs w:val="24"/>
        </w:rPr>
        <w:t>y to less than once a week, and</w:t>
      </w:r>
      <w:r w:rsidRPr="00DF075B">
        <w:rPr>
          <w:rFonts w:ascii="Times New Roman" w:eastAsia="Calibri" w:hAnsi="Times New Roman" w:cs="Times New Roman"/>
          <w:sz w:val="24"/>
          <w:szCs w:val="24"/>
        </w:rPr>
        <w:t xml:space="preserve"> the duration of training sessions ranged from 10 to 60 minutes. </w:t>
      </w:r>
      <w:r w:rsidR="004F0A28">
        <w:rPr>
          <w:rFonts w:ascii="Times New Roman" w:eastAsia="Calibri" w:hAnsi="Times New Roman" w:cs="Times New Roman"/>
          <w:sz w:val="24"/>
          <w:szCs w:val="24"/>
        </w:rPr>
        <w:t xml:space="preserve"> </w:t>
      </w:r>
      <w:r w:rsidRPr="004F0A28">
        <w:rPr>
          <w:rFonts w:ascii="Times New Roman" w:eastAsia="Calibri" w:hAnsi="Times New Roman" w:cs="Times New Roman"/>
          <w:b/>
          <w:sz w:val="24"/>
          <w:szCs w:val="24"/>
        </w:rPr>
        <w:t>CONCLUSION</w:t>
      </w:r>
      <w:r w:rsidR="004F0A28" w:rsidRPr="004F0A28">
        <w:rPr>
          <w:rFonts w:ascii="Times New Roman" w:eastAsia="Calibri" w:hAnsi="Times New Roman" w:cs="Times New Roman"/>
          <w:b/>
          <w:sz w:val="24"/>
          <w:szCs w:val="24"/>
        </w:rPr>
        <w:t>S</w:t>
      </w:r>
      <w:r w:rsidRPr="004F0A28">
        <w:rPr>
          <w:rFonts w:ascii="Times New Roman" w:eastAsia="Calibri" w:hAnsi="Times New Roman" w:cs="Times New Roman"/>
          <w:b/>
          <w:sz w:val="24"/>
          <w:szCs w:val="24"/>
        </w:rPr>
        <w:t>:</w:t>
      </w:r>
      <w:r w:rsidRPr="00DF075B">
        <w:rPr>
          <w:rFonts w:ascii="Times New Roman" w:eastAsia="Calibri" w:hAnsi="Times New Roman" w:cs="Times New Roman"/>
          <w:sz w:val="24"/>
          <w:szCs w:val="24"/>
        </w:rPr>
        <w:t xml:space="preserve"> Evidence related to power mobility training techniques is in its infancy. </w:t>
      </w:r>
      <w:r w:rsidR="004F0A28">
        <w:rPr>
          <w:rFonts w:ascii="Times New Roman" w:eastAsia="Calibri" w:hAnsi="Times New Roman" w:cs="Times New Roman"/>
          <w:sz w:val="24"/>
          <w:szCs w:val="24"/>
        </w:rPr>
        <w:t xml:space="preserve"> </w:t>
      </w:r>
      <w:r w:rsidR="00503A14">
        <w:rPr>
          <w:rFonts w:ascii="Times New Roman" w:eastAsia="Calibri" w:hAnsi="Times New Roman" w:cs="Times New Roman"/>
          <w:sz w:val="24"/>
          <w:szCs w:val="24"/>
        </w:rPr>
        <w:t>However, d</w:t>
      </w:r>
      <w:r w:rsidRPr="00DF075B">
        <w:rPr>
          <w:rFonts w:ascii="Times New Roman" w:eastAsia="Calibri" w:hAnsi="Times New Roman" w:cs="Times New Roman"/>
          <w:sz w:val="24"/>
          <w:szCs w:val="24"/>
        </w:rPr>
        <w:t>espite a lack of consensus on power mobi</w:t>
      </w:r>
      <w:r w:rsidR="00503A14">
        <w:rPr>
          <w:rFonts w:ascii="Times New Roman" w:eastAsia="Calibri" w:hAnsi="Times New Roman" w:cs="Times New Roman"/>
          <w:sz w:val="24"/>
          <w:szCs w:val="24"/>
        </w:rPr>
        <w:t xml:space="preserve">lity training methods, </w:t>
      </w:r>
      <w:r w:rsidRPr="00DF075B">
        <w:rPr>
          <w:rFonts w:ascii="Times New Roman" w:eastAsia="Calibri" w:hAnsi="Times New Roman" w:cs="Times New Roman"/>
          <w:sz w:val="24"/>
          <w:szCs w:val="24"/>
        </w:rPr>
        <w:t xml:space="preserve">the individual studies included in this review reported that power mobility training or use may result in a range of positive outcomes without any known negative consequences or outcomes. </w:t>
      </w:r>
    </w:p>
    <w:p w:rsidR="00DF075B" w:rsidRDefault="00DF075B" w:rsidP="00415767">
      <w:pPr>
        <w:spacing w:after="0" w:line="240" w:lineRule="auto"/>
        <w:rPr>
          <w:rFonts w:ascii="Times New Roman" w:eastAsia="Calibri" w:hAnsi="Times New Roman" w:cs="Times New Roman"/>
          <w:sz w:val="24"/>
          <w:szCs w:val="24"/>
        </w:rPr>
      </w:pPr>
    </w:p>
    <w:p w:rsidR="00DF075B" w:rsidRDefault="00DF075B" w:rsidP="00415767">
      <w:pPr>
        <w:spacing w:after="0" w:line="240" w:lineRule="auto"/>
        <w:rPr>
          <w:rFonts w:ascii="Times New Roman" w:eastAsia="Calibri" w:hAnsi="Times New Roman" w:cs="Times New Roman"/>
          <w:sz w:val="24"/>
          <w:szCs w:val="24"/>
        </w:rPr>
      </w:pPr>
    </w:p>
    <w:p w:rsidR="00B961FA" w:rsidRDefault="00B961FA" w:rsidP="00415767">
      <w:pPr>
        <w:spacing w:after="0" w:line="240" w:lineRule="auto"/>
        <w:rPr>
          <w:rFonts w:ascii="Times New Roman" w:eastAsia="Calibri" w:hAnsi="Times New Roman" w:cs="Times New Roman"/>
          <w:sz w:val="24"/>
          <w:szCs w:val="24"/>
        </w:rPr>
      </w:pPr>
    </w:p>
    <w:p w:rsidR="00415767" w:rsidRDefault="00122BD6" w:rsidP="00415767">
      <w:pPr>
        <w:spacing w:after="0" w:line="240" w:lineRule="auto"/>
        <w:rPr>
          <w:rFonts w:ascii="Times New Roman" w:eastAsia="Calibri" w:hAnsi="Times New Roman" w:cs="Times New Roman"/>
          <w:sz w:val="24"/>
          <w:szCs w:val="24"/>
        </w:rPr>
      </w:pPr>
      <w:r w:rsidRPr="00122BD6">
        <w:rPr>
          <w:rFonts w:ascii="Times New Roman" w:eastAsia="Calibri" w:hAnsi="Times New Roman" w:cs="Times New Roman"/>
          <w:b/>
          <w:sz w:val="24"/>
          <w:szCs w:val="24"/>
        </w:rPr>
        <w:lastRenderedPageBreak/>
        <w:t xml:space="preserve">THE </w:t>
      </w:r>
      <w:r w:rsidR="00415767" w:rsidRPr="00122BD6">
        <w:rPr>
          <w:rFonts w:ascii="Times New Roman" w:eastAsia="Calibri" w:hAnsi="Times New Roman" w:cs="Times New Roman"/>
          <w:b/>
          <w:sz w:val="24"/>
          <w:szCs w:val="24"/>
        </w:rPr>
        <w:t>RELIABILITY AND VALIDITY OF THE RAPID STEP UP TEST</w:t>
      </w:r>
      <w:r w:rsidR="00F501FD">
        <w:rPr>
          <w:rFonts w:ascii="Times New Roman" w:eastAsia="Calibri" w:hAnsi="Times New Roman" w:cs="Times New Roman"/>
          <w:b/>
          <w:sz w:val="24"/>
          <w:szCs w:val="24"/>
        </w:rPr>
        <w:t xml:space="preserve"> </w:t>
      </w:r>
      <w:r w:rsidR="00415767" w:rsidRPr="00122BD6">
        <w:rPr>
          <w:rFonts w:ascii="Times New Roman" w:eastAsia="Calibri" w:hAnsi="Times New Roman" w:cs="Times New Roman"/>
          <w:b/>
          <w:sz w:val="24"/>
          <w:szCs w:val="24"/>
        </w:rPr>
        <w:t>IN INDIVIDUALS WITH PARKINSON’S DISEASE AND HEALTHY ADULTS.</w:t>
      </w:r>
      <w:r w:rsidR="00415767" w:rsidRPr="00415767">
        <w:rPr>
          <w:rFonts w:ascii="Times New Roman" w:eastAsia="Calibri" w:hAnsi="Times New Roman" w:cs="Times New Roman"/>
          <w:sz w:val="24"/>
          <w:szCs w:val="24"/>
        </w:rPr>
        <w:t xml:space="preserve"> Conley K, Ga</w:t>
      </w:r>
      <w:r>
        <w:rPr>
          <w:rFonts w:ascii="Times New Roman" w:eastAsia="Calibri" w:hAnsi="Times New Roman" w:cs="Times New Roman"/>
          <w:sz w:val="24"/>
          <w:szCs w:val="24"/>
        </w:rPr>
        <w:t>rascia C, Shefferly A, Harro CC;</w:t>
      </w:r>
      <w:r w:rsidR="00415767" w:rsidRPr="00415767">
        <w:rPr>
          <w:rFonts w:ascii="Times New Roman" w:eastAsia="Calibri" w:hAnsi="Times New Roman" w:cs="Times New Roman"/>
          <w:sz w:val="24"/>
          <w:szCs w:val="24"/>
        </w:rPr>
        <w:t xml:space="preserve"> Grand Valley State University, Grand Rapids, MI. </w:t>
      </w:r>
    </w:p>
    <w:p w:rsidR="00415767" w:rsidRPr="00415767" w:rsidRDefault="00415767" w:rsidP="00415767">
      <w:pPr>
        <w:spacing w:after="0" w:line="240" w:lineRule="auto"/>
        <w:rPr>
          <w:rFonts w:ascii="Times New Roman" w:eastAsia="Calibri" w:hAnsi="Times New Roman" w:cs="Times New Roman"/>
          <w:sz w:val="24"/>
          <w:szCs w:val="24"/>
        </w:rPr>
      </w:pPr>
    </w:p>
    <w:p w:rsidR="00415767" w:rsidRPr="00415767" w:rsidRDefault="00415767" w:rsidP="00415767">
      <w:pPr>
        <w:spacing w:after="0" w:line="240" w:lineRule="auto"/>
        <w:rPr>
          <w:rFonts w:ascii="Times New Roman" w:eastAsia="Calibri" w:hAnsi="Times New Roman" w:cs="Times New Roman"/>
          <w:sz w:val="24"/>
          <w:szCs w:val="24"/>
        </w:rPr>
      </w:pPr>
      <w:r w:rsidRPr="00B961FA">
        <w:rPr>
          <w:rFonts w:ascii="Times New Roman" w:eastAsia="Calibri" w:hAnsi="Times New Roman" w:cs="Times New Roman"/>
          <w:b/>
          <w:sz w:val="24"/>
          <w:szCs w:val="24"/>
        </w:rPr>
        <w:t>INTRODUCTION:</w:t>
      </w:r>
      <w:r w:rsidRPr="00415767">
        <w:rPr>
          <w:rFonts w:ascii="Times New Roman" w:eastAsia="Calibri" w:hAnsi="Times New Roman" w:cs="Times New Roman"/>
          <w:sz w:val="24"/>
          <w:szCs w:val="24"/>
        </w:rPr>
        <w:t xml:space="preserve"> Parkinson’s disease</w:t>
      </w:r>
      <w:r w:rsidR="006D5BF2">
        <w:rPr>
          <w:rFonts w:ascii="Times New Roman" w:eastAsia="Calibri" w:hAnsi="Times New Roman" w:cs="Times New Roman"/>
          <w:sz w:val="24"/>
          <w:szCs w:val="24"/>
        </w:rPr>
        <w:t xml:space="preserve"> (PD)</w:t>
      </w:r>
      <w:r w:rsidRPr="00415767">
        <w:rPr>
          <w:rFonts w:ascii="Times New Roman" w:eastAsia="Calibri" w:hAnsi="Times New Roman" w:cs="Times New Roman"/>
          <w:sz w:val="24"/>
          <w:szCs w:val="24"/>
        </w:rPr>
        <w:t xml:space="preserve"> is a common neurodegenerative disorder with clinical manifestations including postural instability, bradykinesia, gait disturbances and strength decline, leading to functional limitations and a high incidence of falls. </w:t>
      </w:r>
      <w:r w:rsidR="00B961FA">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A clinically feasible outcome measure that is valid, reliable</w:t>
      </w:r>
      <w:r w:rsidR="006D5BF2">
        <w:rPr>
          <w:rFonts w:ascii="Times New Roman" w:eastAsia="Calibri" w:hAnsi="Times New Roman" w:cs="Times New Roman"/>
          <w:sz w:val="24"/>
          <w:szCs w:val="24"/>
        </w:rPr>
        <w:t>,</w:t>
      </w:r>
      <w:r w:rsidRPr="00415767">
        <w:rPr>
          <w:rFonts w:ascii="Times New Roman" w:eastAsia="Calibri" w:hAnsi="Times New Roman" w:cs="Times New Roman"/>
          <w:sz w:val="24"/>
          <w:szCs w:val="24"/>
        </w:rPr>
        <w:t xml:space="preserve"> and sensitive for assessing functional mobility in the PD population is needed to add to the current battery of gait and balance measures. </w:t>
      </w:r>
      <w:r w:rsidR="00B961FA">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The Rapid Step Up test (RST) is a salient functional performance measure with embedded strength and dynamic balance demands. </w:t>
      </w:r>
      <w:r w:rsidR="00B961FA">
        <w:rPr>
          <w:rFonts w:ascii="Times New Roman" w:eastAsia="Calibri" w:hAnsi="Times New Roman" w:cs="Times New Roman"/>
          <w:sz w:val="24"/>
          <w:szCs w:val="24"/>
        </w:rPr>
        <w:t xml:space="preserve"> </w:t>
      </w:r>
      <w:r w:rsidR="006D5BF2">
        <w:rPr>
          <w:rFonts w:ascii="Times New Roman" w:eastAsia="Calibri" w:hAnsi="Times New Roman" w:cs="Times New Roman"/>
          <w:sz w:val="24"/>
          <w:szCs w:val="24"/>
        </w:rPr>
        <w:t>The purpose of this study was</w:t>
      </w:r>
      <w:r w:rsidRPr="00415767">
        <w:rPr>
          <w:rFonts w:ascii="Times New Roman" w:eastAsia="Calibri" w:hAnsi="Times New Roman" w:cs="Times New Roman"/>
          <w:sz w:val="24"/>
          <w:szCs w:val="24"/>
        </w:rPr>
        <w:t xml:space="preserve"> to examine the test psychometric properties of the RST in community dw</w:t>
      </w:r>
      <w:r w:rsidR="006D5BF2">
        <w:rPr>
          <w:rFonts w:ascii="Times New Roman" w:eastAsia="Calibri" w:hAnsi="Times New Roman" w:cs="Times New Roman"/>
          <w:sz w:val="24"/>
          <w:szCs w:val="24"/>
        </w:rPr>
        <w:t>elling individuals with PD</w:t>
      </w:r>
      <w:r w:rsidR="009B29CF">
        <w:rPr>
          <w:rFonts w:ascii="Times New Roman" w:eastAsia="Calibri" w:hAnsi="Times New Roman" w:cs="Times New Roman"/>
          <w:sz w:val="24"/>
          <w:szCs w:val="24"/>
        </w:rPr>
        <w:t xml:space="preserve"> and healthy adults.  </w:t>
      </w:r>
      <w:r w:rsidRPr="00B961FA">
        <w:rPr>
          <w:rFonts w:ascii="Times New Roman" w:eastAsia="Calibri" w:hAnsi="Times New Roman" w:cs="Times New Roman"/>
          <w:b/>
          <w:sz w:val="24"/>
          <w:szCs w:val="24"/>
        </w:rPr>
        <w:t>METHODS:</w:t>
      </w:r>
      <w:r w:rsidRPr="00415767">
        <w:rPr>
          <w:rFonts w:ascii="Times New Roman" w:eastAsia="Calibri" w:hAnsi="Times New Roman" w:cs="Times New Roman"/>
          <w:sz w:val="24"/>
          <w:szCs w:val="24"/>
        </w:rPr>
        <w:t xml:space="preserve"> Two groups met </w:t>
      </w:r>
      <w:r w:rsidR="0030548A">
        <w:rPr>
          <w:rFonts w:ascii="Times New Roman" w:eastAsia="Calibri" w:hAnsi="Times New Roman" w:cs="Times New Roman"/>
          <w:sz w:val="24"/>
          <w:szCs w:val="24"/>
        </w:rPr>
        <w:t xml:space="preserve">the </w:t>
      </w:r>
      <w:r w:rsidRPr="00415767">
        <w:rPr>
          <w:rFonts w:ascii="Times New Roman" w:eastAsia="Calibri" w:hAnsi="Times New Roman" w:cs="Times New Roman"/>
          <w:sz w:val="24"/>
          <w:szCs w:val="24"/>
        </w:rPr>
        <w:t xml:space="preserve">inclusion criteria and participated in this study: </w:t>
      </w:r>
      <w:r w:rsidR="0030548A">
        <w:rPr>
          <w:rFonts w:ascii="Times New Roman" w:eastAsia="Calibri" w:hAnsi="Times New Roman" w:cs="Times New Roman"/>
          <w:sz w:val="24"/>
          <w:szCs w:val="24"/>
        </w:rPr>
        <w:t>(1) 40</w:t>
      </w:r>
      <w:r w:rsidRPr="00415767">
        <w:rPr>
          <w:rFonts w:ascii="Times New Roman" w:eastAsia="Calibri" w:hAnsi="Times New Roman" w:cs="Times New Roman"/>
          <w:sz w:val="24"/>
          <w:szCs w:val="24"/>
        </w:rPr>
        <w:t xml:space="preserve"> individuals with </w:t>
      </w:r>
      <w:r w:rsidR="0030548A">
        <w:rPr>
          <w:rFonts w:ascii="Times New Roman" w:eastAsia="Calibri" w:hAnsi="Times New Roman" w:cs="Times New Roman"/>
          <w:sz w:val="24"/>
          <w:szCs w:val="24"/>
        </w:rPr>
        <w:t>idiopathic PD</w:t>
      </w:r>
      <w:r w:rsidRPr="00415767">
        <w:rPr>
          <w:rFonts w:ascii="Times New Roman" w:eastAsia="Calibri" w:hAnsi="Times New Roman" w:cs="Times New Roman"/>
          <w:sz w:val="24"/>
          <w:szCs w:val="24"/>
        </w:rPr>
        <w:t xml:space="preserve"> on </w:t>
      </w:r>
      <w:r w:rsidR="0030548A">
        <w:rPr>
          <w:rFonts w:ascii="Times New Roman" w:eastAsia="Calibri" w:hAnsi="Times New Roman" w:cs="Times New Roman"/>
          <w:sz w:val="24"/>
          <w:szCs w:val="24"/>
        </w:rPr>
        <w:t xml:space="preserve">a </w:t>
      </w:r>
      <w:r w:rsidRPr="00415767">
        <w:rPr>
          <w:rFonts w:ascii="Times New Roman" w:eastAsia="Calibri" w:hAnsi="Times New Roman" w:cs="Times New Roman"/>
          <w:sz w:val="24"/>
          <w:szCs w:val="24"/>
        </w:rPr>
        <w:t xml:space="preserve">stable PD medication regimen (mean age = 66.30 (8.07)) and </w:t>
      </w:r>
      <w:r w:rsidR="0030548A">
        <w:rPr>
          <w:rFonts w:ascii="Times New Roman" w:eastAsia="Calibri" w:hAnsi="Times New Roman" w:cs="Times New Roman"/>
          <w:sz w:val="24"/>
          <w:szCs w:val="24"/>
        </w:rPr>
        <w:t>(2) 55</w:t>
      </w:r>
      <w:r w:rsidRPr="00415767">
        <w:rPr>
          <w:rFonts w:ascii="Times New Roman" w:eastAsia="Calibri" w:hAnsi="Times New Roman" w:cs="Times New Roman"/>
          <w:sz w:val="24"/>
          <w:szCs w:val="24"/>
        </w:rPr>
        <w:t xml:space="preserve"> age</w:t>
      </w:r>
      <w:r w:rsidR="0030548A">
        <w:rPr>
          <w:rFonts w:ascii="Times New Roman" w:eastAsia="Calibri" w:hAnsi="Times New Roman" w:cs="Times New Roman"/>
          <w:sz w:val="24"/>
          <w:szCs w:val="24"/>
        </w:rPr>
        <w:t>-</w:t>
      </w:r>
      <w:r w:rsidRPr="00415767">
        <w:rPr>
          <w:rFonts w:ascii="Times New Roman" w:eastAsia="Calibri" w:hAnsi="Times New Roman" w:cs="Times New Roman"/>
          <w:sz w:val="24"/>
          <w:szCs w:val="24"/>
        </w:rPr>
        <w:t xml:space="preserve"> and </w:t>
      </w:r>
      <w:r w:rsidR="0030548A">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gender-matched healthy adults (mean age</w:t>
      </w:r>
      <w:r w:rsidR="0030548A">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 64.75 (8.50)).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Test-retest reliability was examined by administering the RST twice over a 10-day period.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Interrater reliability was examined by having three raters simultaneously time RST performance. </w:t>
      </w:r>
      <w:r w:rsidR="009B29CF">
        <w:rPr>
          <w:rFonts w:ascii="Times New Roman" w:eastAsia="Calibri" w:hAnsi="Times New Roman" w:cs="Times New Roman"/>
          <w:sz w:val="24"/>
          <w:szCs w:val="24"/>
        </w:rPr>
        <w:t xml:space="preserve"> </w:t>
      </w:r>
      <w:proofErr w:type="spellStart"/>
      <w:r w:rsidRPr="00415767">
        <w:rPr>
          <w:rFonts w:ascii="Times New Roman" w:eastAsia="Calibri" w:hAnsi="Times New Roman" w:cs="Times New Roman"/>
          <w:sz w:val="24"/>
          <w:szCs w:val="24"/>
        </w:rPr>
        <w:t>Intraclass</w:t>
      </w:r>
      <w:proofErr w:type="spellEnd"/>
      <w:r w:rsidRPr="00415767">
        <w:rPr>
          <w:rFonts w:ascii="Times New Roman" w:eastAsia="Calibri" w:hAnsi="Times New Roman" w:cs="Times New Roman"/>
          <w:sz w:val="24"/>
          <w:szCs w:val="24"/>
        </w:rPr>
        <w:t xml:space="preserve"> correlation coefficients, standard error of measurement</w:t>
      </w:r>
      <w:r w:rsidR="0030548A">
        <w:rPr>
          <w:rFonts w:ascii="Times New Roman" w:eastAsia="Calibri" w:hAnsi="Times New Roman" w:cs="Times New Roman"/>
          <w:sz w:val="24"/>
          <w:szCs w:val="24"/>
        </w:rPr>
        <w:t>,</w:t>
      </w:r>
      <w:r w:rsidRPr="00415767">
        <w:rPr>
          <w:rFonts w:ascii="Times New Roman" w:eastAsia="Calibri" w:hAnsi="Times New Roman" w:cs="Times New Roman"/>
          <w:sz w:val="24"/>
          <w:szCs w:val="24"/>
        </w:rPr>
        <w:t xml:space="preserve"> and minimal detectable change for RST were calculated for both cohorts.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Concurrent validity was examined using Pearson correlation coefficients by comparing RST times with gait measures [10 Meter Walk Test (10MWT) and Six Minute Walk Test (6MWT)], clinical balance measures [Functional Gait Assessment (FGA) and </w:t>
      </w:r>
      <w:proofErr w:type="spellStart"/>
      <w:r w:rsidRPr="00415767">
        <w:rPr>
          <w:rFonts w:ascii="Times New Roman" w:eastAsia="Calibri" w:hAnsi="Times New Roman" w:cs="Times New Roman"/>
          <w:sz w:val="24"/>
          <w:szCs w:val="24"/>
        </w:rPr>
        <w:t>MiniBEST</w:t>
      </w:r>
      <w:proofErr w:type="spellEnd"/>
      <w:r w:rsidRPr="00415767">
        <w:rPr>
          <w:rFonts w:ascii="Times New Roman" w:eastAsia="Calibri" w:hAnsi="Times New Roman" w:cs="Times New Roman"/>
          <w:sz w:val="24"/>
          <w:szCs w:val="24"/>
        </w:rPr>
        <w:t>]</w:t>
      </w:r>
      <w:r w:rsidR="0030548A">
        <w:rPr>
          <w:rFonts w:ascii="Times New Roman" w:eastAsia="Calibri" w:hAnsi="Times New Roman" w:cs="Times New Roman"/>
          <w:sz w:val="24"/>
          <w:szCs w:val="24"/>
        </w:rPr>
        <w:t>,</w:t>
      </w:r>
      <w:r w:rsidRPr="00415767">
        <w:rPr>
          <w:rFonts w:ascii="Times New Roman" w:eastAsia="Calibri" w:hAnsi="Times New Roman" w:cs="Times New Roman"/>
          <w:sz w:val="24"/>
          <w:szCs w:val="24"/>
        </w:rPr>
        <w:t xml:space="preserve"> and force platform measures [Limits of Stability test (LOS), Motor Control Test (MCT), and Sensory Organization Test (SOT)].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Discriminative validity was assessed using Independent t tests to determine if there was a significant difference in RST between the PD and healthy groups.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Stepwise multiple linear regression analyses assessed the relationship between RST time and age and PD characteristics.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Alpha level &lt;.05 was utilized</w:t>
      </w:r>
      <w:r w:rsidRPr="00B961FA">
        <w:rPr>
          <w:rFonts w:ascii="Times New Roman" w:eastAsia="Calibri" w:hAnsi="Times New Roman" w:cs="Times New Roman"/>
          <w:b/>
          <w:sz w:val="24"/>
          <w:szCs w:val="24"/>
        </w:rPr>
        <w:t xml:space="preserve">. </w:t>
      </w:r>
      <w:r w:rsidR="009B29CF">
        <w:rPr>
          <w:rFonts w:ascii="Times New Roman" w:eastAsia="Calibri" w:hAnsi="Times New Roman" w:cs="Times New Roman"/>
          <w:b/>
          <w:sz w:val="24"/>
          <w:szCs w:val="24"/>
        </w:rPr>
        <w:t xml:space="preserve"> </w:t>
      </w:r>
      <w:r w:rsidRPr="00B961FA">
        <w:rPr>
          <w:rFonts w:ascii="Times New Roman" w:eastAsia="Calibri" w:hAnsi="Times New Roman" w:cs="Times New Roman"/>
          <w:b/>
          <w:sz w:val="24"/>
          <w:szCs w:val="24"/>
        </w:rPr>
        <w:t>RESULTS:</w:t>
      </w:r>
      <w:r w:rsidRPr="00415767">
        <w:rPr>
          <w:rFonts w:ascii="Times New Roman" w:eastAsia="Calibri" w:hAnsi="Times New Roman" w:cs="Times New Roman"/>
          <w:sz w:val="24"/>
          <w:szCs w:val="24"/>
        </w:rPr>
        <w:t xml:space="preserve"> A significant difference in RST performance was found between PD and healthy adults (p&lt;0.0001, T=-4.44, CI-95%= 2.88 to 7.57).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Test-retest and interrater reliability were excellent in both groups (PD: ICC=0.91, 1.00; healthy: ICC=0.88, 1.00, respectively).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In the PD cohort, there were moderate correlations </w:t>
      </w:r>
      <w:r w:rsidR="0030548A">
        <w:rPr>
          <w:rFonts w:ascii="Times New Roman" w:eastAsia="Calibri" w:hAnsi="Times New Roman" w:cs="Times New Roman"/>
          <w:sz w:val="24"/>
          <w:szCs w:val="24"/>
        </w:rPr>
        <w:t xml:space="preserve">    (p&lt;</w:t>
      </w:r>
      <w:r w:rsidRPr="00415767">
        <w:rPr>
          <w:rFonts w:ascii="Times New Roman" w:eastAsia="Calibri" w:hAnsi="Times New Roman" w:cs="Times New Roman"/>
          <w:sz w:val="24"/>
          <w:szCs w:val="24"/>
        </w:rPr>
        <w:t xml:space="preserve">0.50) found between the RST and all gait and balance measures.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Moderate correlations were found in the healthy group between RST and gait and balance measures, but weak to no correlations </w:t>
      </w:r>
      <w:r w:rsidR="0030548A">
        <w:rPr>
          <w:rFonts w:ascii="Times New Roman" w:eastAsia="Calibri" w:hAnsi="Times New Roman" w:cs="Times New Roman"/>
          <w:sz w:val="24"/>
          <w:szCs w:val="24"/>
        </w:rPr>
        <w:t xml:space="preserve">were found </w:t>
      </w:r>
      <w:r w:rsidRPr="00415767">
        <w:rPr>
          <w:rFonts w:ascii="Times New Roman" w:eastAsia="Calibri" w:hAnsi="Times New Roman" w:cs="Times New Roman"/>
          <w:sz w:val="24"/>
          <w:szCs w:val="24"/>
        </w:rPr>
        <w:t xml:space="preserve">with FP measures and the 10MWT-fast.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Age and stage of disease in the PD cohort significantly </w:t>
      </w:r>
      <w:r w:rsidR="0030548A">
        <w:rPr>
          <w:rFonts w:ascii="Times New Roman" w:eastAsia="Calibri" w:hAnsi="Times New Roman" w:cs="Times New Roman"/>
          <w:sz w:val="24"/>
          <w:szCs w:val="24"/>
        </w:rPr>
        <w:t xml:space="preserve">contributed to RST performance </w:t>
      </w:r>
      <w:r w:rsidRPr="00415767">
        <w:rPr>
          <w:rFonts w:ascii="Times New Roman" w:eastAsia="Calibri" w:hAnsi="Times New Roman" w:cs="Times New Roman"/>
          <w:sz w:val="24"/>
          <w:szCs w:val="24"/>
        </w:rPr>
        <w:t>with age, disease stage</w:t>
      </w:r>
      <w:r w:rsidR="0030548A">
        <w:rPr>
          <w:rFonts w:ascii="Times New Roman" w:eastAsia="Calibri" w:hAnsi="Times New Roman" w:cs="Times New Roman"/>
          <w:sz w:val="24"/>
          <w:szCs w:val="24"/>
        </w:rPr>
        <w:t>,</w:t>
      </w:r>
      <w:r w:rsidRPr="00415767">
        <w:rPr>
          <w:rFonts w:ascii="Times New Roman" w:eastAsia="Calibri" w:hAnsi="Times New Roman" w:cs="Times New Roman"/>
          <w:sz w:val="24"/>
          <w:szCs w:val="24"/>
        </w:rPr>
        <w:t xml:space="preserve"> and duration accounting for 43% of the variance in RST times. </w:t>
      </w:r>
      <w:r w:rsidR="009B29CF">
        <w:rPr>
          <w:rFonts w:ascii="Times New Roman" w:eastAsia="Calibri" w:hAnsi="Times New Roman" w:cs="Times New Roman"/>
          <w:sz w:val="24"/>
          <w:szCs w:val="24"/>
        </w:rPr>
        <w:t xml:space="preserve"> </w:t>
      </w:r>
      <w:r w:rsidRPr="00B961FA">
        <w:rPr>
          <w:rFonts w:ascii="Times New Roman" w:eastAsia="Calibri" w:hAnsi="Times New Roman" w:cs="Times New Roman"/>
          <w:b/>
          <w:sz w:val="24"/>
          <w:szCs w:val="24"/>
        </w:rPr>
        <w:t>DISCUSSION:</w:t>
      </w:r>
      <w:r w:rsidR="0030548A">
        <w:rPr>
          <w:rFonts w:ascii="Times New Roman" w:eastAsia="Calibri" w:hAnsi="Times New Roman" w:cs="Times New Roman"/>
          <w:sz w:val="24"/>
          <w:szCs w:val="24"/>
        </w:rPr>
        <w:t xml:space="preserve"> The</w:t>
      </w:r>
      <w:r w:rsidRPr="00415767">
        <w:rPr>
          <w:rFonts w:ascii="Times New Roman" w:eastAsia="Calibri" w:hAnsi="Times New Roman" w:cs="Times New Roman"/>
          <w:sz w:val="24"/>
          <w:szCs w:val="24"/>
        </w:rPr>
        <w:t xml:space="preserve"> findings support that the RST is a reliable and valid measure that discriminates between </w:t>
      </w:r>
      <w:r w:rsidR="0030548A">
        <w:rPr>
          <w:rFonts w:ascii="Times New Roman" w:eastAsia="Calibri" w:hAnsi="Times New Roman" w:cs="Times New Roman"/>
          <w:sz w:val="24"/>
          <w:szCs w:val="24"/>
        </w:rPr>
        <w:t xml:space="preserve">a </w:t>
      </w:r>
      <w:r w:rsidRPr="00415767">
        <w:rPr>
          <w:rFonts w:ascii="Times New Roman" w:eastAsia="Calibri" w:hAnsi="Times New Roman" w:cs="Times New Roman"/>
          <w:sz w:val="24"/>
          <w:szCs w:val="24"/>
        </w:rPr>
        <w:t xml:space="preserve">PD and healthy cohort.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Persons with PD performed significantly slower than healthy adults, particularly with advancing age and disease stage.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The motor and speed demands of the RST an</w:t>
      </w:r>
      <w:r w:rsidR="00771A6D">
        <w:rPr>
          <w:rFonts w:ascii="Times New Roman" w:eastAsia="Calibri" w:hAnsi="Times New Roman" w:cs="Times New Roman"/>
          <w:sz w:val="24"/>
          <w:szCs w:val="24"/>
        </w:rPr>
        <w:t>d the objective scoring enhance</w:t>
      </w:r>
      <w:r w:rsidRPr="00415767">
        <w:rPr>
          <w:rFonts w:ascii="Times New Roman" w:eastAsia="Calibri" w:hAnsi="Times New Roman" w:cs="Times New Roman"/>
          <w:sz w:val="24"/>
          <w:szCs w:val="24"/>
        </w:rPr>
        <w:t xml:space="preserve"> the sensitivity to assess functional mobility decline in PD. </w:t>
      </w:r>
      <w:r w:rsidR="009B29CF">
        <w:rPr>
          <w:rFonts w:ascii="Times New Roman" w:eastAsia="Calibri" w:hAnsi="Times New Roman" w:cs="Times New Roman"/>
          <w:sz w:val="24"/>
          <w:szCs w:val="24"/>
        </w:rPr>
        <w:t xml:space="preserve"> </w:t>
      </w:r>
      <w:r w:rsidRPr="00415767">
        <w:rPr>
          <w:rFonts w:ascii="Times New Roman" w:eastAsia="Calibri" w:hAnsi="Times New Roman" w:cs="Times New Roman"/>
          <w:sz w:val="24"/>
          <w:szCs w:val="24"/>
        </w:rPr>
        <w:t xml:space="preserve">The moderate relationship between RST and the clinical balance measures lends support that the RST may be a sensitive measure to detect dynamic balance deficits in PD. </w:t>
      </w:r>
      <w:r w:rsidR="009B29CF">
        <w:rPr>
          <w:rFonts w:ascii="Times New Roman" w:eastAsia="Calibri" w:hAnsi="Times New Roman" w:cs="Times New Roman"/>
          <w:sz w:val="24"/>
          <w:szCs w:val="24"/>
        </w:rPr>
        <w:t xml:space="preserve"> </w:t>
      </w:r>
      <w:r w:rsidRPr="00B961FA">
        <w:rPr>
          <w:rFonts w:ascii="Times New Roman" w:eastAsia="Calibri" w:hAnsi="Times New Roman" w:cs="Times New Roman"/>
          <w:b/>
          <w:sz w:val="24"/>
          <w:szCs w:val="24"/>
        </w:rPr>
        <w:t>CONCLUSION</w:t>
      </w:r>
      <w:r w:rsidR="00B961FA" w:rsidRPr="00B961FA">
        <w:rPr>
          <w:rFonts w:ascii="Times New Roman" w:eastAsia="Calibri" w:hAnsi="Times New Roman" w:cs="Times New Roman"/>
          <w:b/>
          <w:sz w:val="24"/>
          <w:szCs w:val="24"/>
        </w:rPr>
        <w:t>S</w:t>
      </w:r>
      <w:r w:rsidRPr="00B961FA">
        <w:rPr>
          <w:rFonts w:ascii="Times New Roman" w:eastAsia="Calibri" w:hAnsi="Times New Roman" w:cs="Times New Roman"/>
          <w:b/>
          <w:sz w:val="24"/>
          <w:szCs w:val="24"/>
        </w:rPr>
        <w:t>:</w:t>
      </w:r>
      <w:r w:rsidR="0030548A">
        <w:rPr>
          <w:rFonts w:ascii="Times New Roman" w:eastAsia="Calibri" w:hAnsi="Times New Roman" w:cs="Times New Roman"/>
          <w:sz w:val="24"/>
          <w:szCs w:val="24"/>
        </w:rPr>
        <w:t xml:space="preserve"> Although</w:t>
      </w:r>
      <w:r w:rsidRPr="00415767">
        <w:rPr>
          <w:rFonts w:ascii="Times New Roman" w:eastAsia="Calibri" w:hAnsi="Times New Roman" w:cs="Times New Roman"/>
          <w:sz w:val="24"/>
          <w:szCs w:val="24"/>
        </w:rPr>
        <w:t xml:space="preserve"> the RST should not functi</w:t>
      </w:r>
      <w:r w:rsidR="0030548A">
        <w:rPr>
          <w:rFonts w:ascii="Times New Roman" w:eastAsia="Calibri" w:hAnsi="Times New Roman" w:cs="Times New Roman"/>
          <w:sz w:val="24"/>
          <w:szCs w:val="24"/>
        </w:rPr>
        <w:t>on as a stand-alone measure, this</w:t>
      </w:r>
      <w:r w:rsidRPr="00415767">
        <w:rPr>
          <w:rFonts w:ascii="Times New Roman" w:eastAsia="Calibri" w:hAnsi="Times New Roman" w:cs="Times New Roman"/>
          <w:sz w:val="24"/>
          <w:szCs w:val="24"/>
        </w:rPr>
        <w:t xml:space="preserve"> research </w:t>
      </w:r>
      <w:r w:rsidR="0030548A">
        <w:rPr>
          <w:rFonts w:ascii="Times New Roman" w:eastAsia="Calibri" w:hAnsi="Times New Roman" w:cs="Times New Roman"/>
          <w:sz w:val="24"/>
          <w:szCs w:val="24"/>
        </w:rPr>
        <w:t xml:space="preserve">study </w:t>
      </w:r>
      <w:r w:rsidRPr="00415767">
        <w:rPr>
          <w:rFonts w:ascii="Times New Roman" w:eastAsia="Calibri" w:hAnsi="Times New Roman" w:cs="Times New Roman"/>
          <w:sz w:val="24"/>
          <w:szCs w:val="24"/>
        </w:rPr>
        <w:t>supports that it is a clinically feasible, valid</w:t>
      </w:r>
      <w:r w:rsidR="0030548A">
        <w:rPr>
          <w:rFonts w:ascii="Times New Roman" w:eastAsia="Calibri" w:hAnsi="Times New Roman" w:cs="Times New Roman"/>
          <w:sz w:val="24"/>
          <w:szCs w:val="24"/>
        </w:rPr>
        <w:t>,</w:t>
      </w:r>
      <w:r w:rsidRPr="00415767">
        <w:rPr>
          <w:rFonts w:ascii="Times New Roman" w:eastAsia="Calibri" w:hAnsi="Times New Roman" w:cs="Times New Roman"/>
          <w:sz w:val="24"/>
          <w:szCs w:val="24"/>
        </w:rPr>
        <w:t xml:space="preserve"> and reliable measure</w:t>
      </w:r>
      <w:r w:rsidR="0030548A">
        <w:rPr>
          <w:rFonts w:ascii="Times New Roman" w:eastAsia="Calibri" w:hAnsi="Times New Roman" w:cs="Times New Roman"/>
          <w:sz w:val="24"/>
          <w:szCs w:val="24"/>
        </w:rPr>
        <w:t xml:space="preserve"> that has an additive value to the</w:t>
      </w:r>
      <w:r w:rsidRPr="00415767">
        <w:rPr>
          <w:rFonts w:ascii="Times New Roman" w:eastAsia="Calibri" w:hAnsi="Times New Roman" w:cs="Times New Roman"/>
          <w:sz w:val="24"/>
          <w:szCs w:val="24"/>
        </w:rPr>
        <w:t xml:space="preserve"> battery of established measures for assessing balance and functional mobility in persons with PD.</w:t>
      </w:r>
    </w:p>
    <w:p w:rsidR="00415767" w:rsidRDefault="00415767" w:rsidP="00013E2B">
      <w:pPr>
        <w:spacing w:after="0" w:line="240" w:lineRule="auto"/>
        <w:rPr>
          <w:rFonts w:ascii="Times New Roman" w:eastAsia="Calibri" w:hAnsi="Times New Roman" w:cs="Times New Roman"/>
          <w:b/>
          <w:sz w:val="24"/>
          <w:szCs w:val="24"/>
        </w:rPr>
      </w:pPr>
    </w:p>
    <w:p w:rsidR="00013E2B" w:rsidRPr="00013E2B" w:rsidRDefault="00013E2B" w:rsidP="006C28BB">
      <w:pPr>
        <w:spacing w:after="0" w:line="240" w:lineRule="auto"/>
        <w:rPr>
          <w:rFonts w:ascii="Times New Roman" w:eastAsia="Calibri" w:hAnsi="Times New Roman" w:cs="Times New Roman"/>
          <w:sz w:val="24"/>
          <w:szCs w:val="24"/>
        </w:rPr>
      </w:pPr>
      <w:r w:rsidRPr="00013E2B">
        <w:rPr>
          <w:rFonts w:ascii="Times New Roman" w:eastAsia="Calibri" w:hAnsi="Times New Roman" w:cs="Times New Roman"/>
          <w:b/>
          <w:sz w:val="24"/>
          <w:szCs w:val="24"/>
        </w:rPr>
        <w:lastRenderedPageBreak/>
        <w:t xml:space="preserve">SEMONT MANEUVER VERSUS EPLEY MANEUVER FOR CANALOLITHIASIS OF THE POSTERIOR SEMICIRCULAR CANAL: A SYSTEMATIC REVIEW. </w:t>
      </w:r>
      <w:r w:rsidRPr="00013E2B">
        <w:rPr>
          <w:rFonts w:ascii="Times New Roman" w:eastAsia="Calibri" w:hAnsi="Times New Roman" w:cs="Times New Roman"/>
          <w:sz w:val="24"/>
          <w:szCs w:val="24"/>
        </w:rPr>
        <w:t xml:space="preserve">Perla MJ, Weber DT, Kinne, BL; Grand Valley State University, Grand Rapids, MI. </w:t>
      </w:r>
    </w:p>
    <w:p w:rsidR="00013E2B" w:rsidRPr="00013E2B" w:rsidRDefault="00013E2B" w:rsidP="006C28BB">
      <w:pPr>
        <w:spacing w:after="0" w:line="240" w:lineRule="auto"/>
        <w:jc w:val="center"/>
        <w:rPr>
          <w:rFonts w:ascii="Times New Roman" w:eastAsia="Calibri" w:hAnsi="Times New Roman" w:cs="Times New Roman"/>
          <w:b/>
          <w:sz w:val="24"/>
        </w:rPr>
      </w:pPr>
    </w:p>
    <w:p w:rsidR="00013E2B" w:rsidRDefault="00013E2B" w:rsidP="006C28BB">
      <w:pPr>
        <w:spacing w:after="0" w:line="256" w:lineRule="auto"/>
        <w:rPr>
          <w:rFonts w:ascii="Times New Roman" w:eastAsia="Times New Roman" w:hAnsi="Times New Roman" w:cs="Times New Roman"/>
          <w:sz w:val="24"/>
          <w:szCs w:val="24"/>
        </w:rPr>
      </w:pPr>
      <w:r w:rsidRPr="00013E2B">
        <w:rPr>
          <w:rFonts w:ascii="Times New Roman" w:eastAsia="Times New Roman" w:hAnsi="Times New Roman" w:cs="Times New Roman"/>
          <w:b/>
          <w:bCs/>
          <w:sz w:val="24"/>
          <w:szCs w:val="24"/>
        </w:rPr>
        <w:t xml:space="preserve">INTRODUCTION: </w:t>
      </w:r>
      <w:r w:rsidRPr="00013E2B">
        <w:rPr>
          <w:rFonts w:ascii="Times New Roman" w:eastAsia="Times New Roman" w:hAnsi="Times New Roman" w:cs="Times New Roman"/>
          <w:sz w:val="24"/>
          <w:szCs w:val="24"/>
        </w:rPr>
        <w:t xml:space="preserve">Benign paroxysmal positional vertigo is the most common disorder of the vestibular system.  Traditionally, the </w:t>
      </w:r>
      <w:proofErr w:type="spellStart"/>
      <w:r w:rsidRPr="00013E2B">
        <w:rPr>
          <w:rFonts w:ascii="Times New Roman" w:eastAsia="Times New Roman" w:hAnsi="Times New Roman" w:cs="Times New Roman"/>
          <w:sz w:val="24"/>
          <w:szCs w:val="24"/>
        </w:rPr>
        <w:t>Epley</w:t>
      </w:r>
      <w:proofErr w:type="spellEnd"/>
      <w:r w:rsidRPr="00013E2B">
        <w:rPr>
          <w:rFonts w:ascii="Times New Roman" w:eastAsia="Times New Roman" w:hAnsi="Times New Roman" w:cs="Times New Roman"/>
          <w:sz w:val="24"/>
          <w:szCs w:val="24"/>
        </w:rPr>
        <w:t xml:space="preserve"> maneuver has been used to treat posterior canal </w:t>
      </w:r>
      <w:proofErr w:type="spellStart"/>
      <w:r w:rsidRPr="00013E2B">
        <w:rPr>
          <w:rFonts w:ascii="Times New Roman" w:eastAsia="Times New Roman" w:hAnsi="Times New Roman" w:cs="Times New Roman"/>
          <w:sz w:val="24"/>
          <w:szCs w:val="24"/>
        </w:rPr>
        <w:t>canalolithiasis</w:t>
      </w:r>
      <w:proofErr w:type="spellEnd"/>
      <w:r w:rsidRPr="00013E2B">
        <w:rPr>
          <w:rFonts w:ascii="Times New Roman" w:eastAsia="Times New Roman" w:hAnsi="Times New Roman" w:cs="Times New Roman"/>
          <w:sz w:val="24"/>
          <w:szCs w:val="24"/>
        </w:rPr>
        <w:t xml:space="preserve">, whereas the </w:t>
      </w:r>
      <w:proofErr w:type="spellStart"/>
      <w:r w:rsidRPr="00013E2B">
        <w:rPr>
          <w:rFonts w:ascii="Times New Roman" w:eastAsia="Times New Roman" w:hAnsi="Times New Roman" w:cs="Times New Roman"/>
          <w:sz w:val="24"/>
          <w:szCs w:val="24"/>
        </w:rPr>
        <w:t>Semont</w:t>
      </w:r>
      <w:proofErr w:type="spellEnd"/>
      <w:r w:rsidRPr="00013E2B">
        <w:rPr>
          <w:rFonts w:ascii="Times New Roman" w:eastAsia="Times New Roman" w:hAnsi="Times New Roman" w:cs="Times New Roman"/>
          <w:sz w:val="24"/>
          <w:szCs w:val="24"/>
        </w:rPr>
        <w:t xml:space="preserve"> maneuver has been used to treat posterior canal </w:t>
      </w:r>
      <w:proofErr w:type="spellStart"/>
      <w:r w:rsidRPr="00013E2B">
        <w:rPr>
          <w:rFonts w:ascii="Times New Roman" w:eastAsia="Times New Roman" w:hAnsi="Times New Roman" w:cs="Times New Roman"/>
          <w:sz w:val="24"/>
          <w:szCs w:val="24"/>
        </w:rPr>
        <w:t>cupulolithiasis</w:t>
      </w:r>
      <w:proofErr w:type="spellEnd"/>
      <w:r w:rsidRPr="00013E2B">
        <w:rPr>
          <w:rFonts w:ascii="Times New Roman" w:eastAsia="Times New Roman" w:hAnsi="Times New Roman" w:cs="Times New Roman"/>
          <w:sz w:val="24"/>
          <w:szCs w:val="24"/>
        </w:rPr>
        <w:t xml:space="preserve">.  However, the </w:t>
      </w:r>
      <w:proofErr w:type="spellStart"/>
      <w:r w:rsidRPr="00013E2B">
        <w:rPr>
          <w:rFonts w:ascii="Times New Roman" w:eastAsia="Times New Roman" w:hAnsi="Times New Roman" w:cs="Times New Roman"/>
          <w:sz w:val="24"/>
          <w:szCs w:val="24"/>
        </w:rPr>
        <w:t>Semont</w:t>
      </w:r>
      <w:proofErr w:type="spellEnd"/>
      <w:r w:rsidRPr="00013E2B">
        <w:rPr>
          <w:rFonts w:ascii="Times New Roman" w:eastAsia="Times New Roman" w:hAnsi="Times New Roman" w:cs="Times New Roman"/>
          <w:sz w:val="24"/>
          <w:szCs w:val="24"/>
        </w:rPr>
        <w:t xml:space="preserve"> maneuver has recently been used in cases of </w:t>
      </w:r>
      <w:proofErr w:type="spellStart"/>
      <w:r w:rsidRPr="00013E2B">
        <w:rPr>
          <w:rFonts w:ascii="Times New Roman" w:eastAsia="Times New Roman" w:hAnsi="Times New Roman" w:cs="Times New Roman"/>
          <w:sz w:val="24"/>
          <w:szCs w:val="24"/>
        </w:rPr>
        <w:t>canalolithiasis</w:t>
      </w:r>
      <w:proofErr w:type="spellEnd"/>
      <w:r w:rsidRPr="00013E2B">
        <w:rPr>
          <w:rFonts w:ascii="Times New Roman" w:eastAsia="Times New Roman" w:hAnsi="Times New Roman" w:cs="Times New Roman"/>
          <w:sz w:val="24"/>
          <w:szCs w:val="24"/>
        </w:rPr>
        <w:t xml:space="preserve"> of the posterior semicircular canal.  Therefore, the purpose of this systematic review was to evaluate the effectiveness of the </w:t>
      </w:r>
      <w:proofErr w:type="spellStart"/>
      <w:r w:rsidRPr="00013E2B">
        <w:rPr>
          <w:rFonts w:ascii="Times New Roman" w:eastAsia="Times New Roman" w:hAnsi="Times New Roman" w:cs="Times New Roman"/>
          <w:sz w:val="24"/>
          <w:szCs w:val="24"/>
        </w:rPr>
        <w:t>Semont</w:t>
      </w:r>
      <w:proofErr w:type="spellEnd"/>
      <w:r w:rsidRPr="00013E2B">
        <w:rPr>
          <w:rFonts w:ascii="Times New Roman" w:eastAsia="Times New Roman" w:hAnsi="Times New Roman" w:cs="Times New Roman"/>
          <w:sz w:val="24"/>
          <w:szCs w:val="24"/>
        </w:rPr>
        <w:t xml:space="preserve"> maneuver to treat </w:t>
      </w:r>
      <w:proofErr w:type="spellStart"/>
      <w:r w:rsidRPr="00013E2B">
        <w:rPr>
          <w:rFonts w:ascii="Times New Roman" w:eastAsia="Times New Roman" w:hAnsi="Times New Roman" w:cs="Times New Roman"/>
          <w:sz w:val="24"/>
          <w:szCs w:val="24"/>
        </w:rPr>
        <w:t>canalolithiasis</w:t>
      </w:r>
      <w:proofErr w:type="spellEnd"/>
      <w:r w:rsidRPr="00013E2B">
        <w:rPr>
          <w:rFonts w:ascii="Times New Roman" w:eastAsia="Times New Roman" w:hAnsi="Times New Roman" w:cs="Times New Roman"/>
          <w:sz w:val="24"/>
          <w:szCs w:val="24"/>
        </w:rPr>
        <w:t xml:space="preserve"> of the posterior semicircular canal as compared to that of the </w:t>
      </w:r>
      <w:proofErr w:type="spellStart"/>
      <w:r w:rsidRPr="00013E2B">
        <w:rPr>
          <w:rFonts w:ascii="Times New Roman" w:eastAsia="Times New Roman" w:hAnsi="Times New Roman" w:cs="Times New Roman"/>
          <w:sz w:val="24"/>
          <w:szCs w:val="24"/>
        </w:rPr>
        <w:t>Epley</w:t>
      </w:r>
      <w:proofErr w:type="spellEnd"/>
      <w:r w:rsidRPr="00013E2B">
        <w:rPr>
          <w:rFonts w:ascii="Times New Roman" w:eastAsia="Times New Roman" w:hAnsi="Times New Roman" w:cs="Times New Roman"/>
          <w:sz w:val="24"/>
          <w:szCs w:val="24"/>
        </w:rPr>
        <w:t xml:space="preserve"> maneuver.  </w:t>
      </w:r>
      <w:r w:rsidRPr="00013E2B">
        <w:rPr>
          <w:rFonts w:ascii="Times New Roman" w:eastAsia="Times New Roman" w:hAnsi="Times New Roman" w:cs="Times New Roman"/>
          <w:b/>
          <w:bCs/>
          <w:sz w:val="24"/>
          <w:szCs w:val="24"/>
        </w:rPr>
        <w:t xml:space="preserve">METHODS: </w:t>
      </w:r>
      <w:r w:rsidRPr="00013E2B">
        <w:rPr>
          <w:rFonts w:ascii="Times New Roman" w:eastAsia="Times New Roman" w:hAnsi="Times New Roman" w:cs="Times New Roman"/>
          <w:sz w:val="24"/>
          <w:szCs w:val="24"/>
        </w:rPr>
        <w:t>A literature search was performed in the Cumulative Index to Nursing and Allied Health Literature (CINAHL) Complete, ProQuest Medical Library, and PubMed databases using the search terms “</w:t>
      </w:r>
      <w:proofErr w:type="spellStart"/>
      <w:r w:rsidRPr="00013E2B">
        <w:rPr>
          <w:rFonts w:ascii="Times New Roman" w:eastAsia="Times New Roman" w:hAnsi="Times New Roman" w:cs="Times New Roman"/>
          <w:sz w:val="24"/>
          <w:szCs w:val="24"/>
        </w:rPr>
        <w:t>Semont</w:t>
      </w:r>
      <w:proofErr w:type="spellEnd"/>
      <w:r w:rsidRPr="00013E2B">
        <w:rPr>
          <w:rFonts w:ascii="Times New Roman" w:eastAsia="Times New Roman" w:hAnsi="Times New Roman" w:cs="Times New Roman"/>
          <w:sz w:val="24"/>
          <w:szCs w:val="24"/>
        </w:rPr>
        <w:t>” AND “</w:t>
      </w:r>
      <w:proofErr w:type="spellStart"/>
      <w:r w:rsidRPr="00013E2B">
        <w:rPr>
          <w:rFonts w:ascii="Times New Roman" w:eastAsia="Times New Roman" w:hAnsi="Times New Roman" w:cs="Times New Roman"/>
          <w:sz w:val="24"/>
          <w:szCs w:val="24"/>
        </w:rPr>
        <w:t>Epley</w:t>
      </w:r>
      <w:proofErr w:type="spellEnd"/>
      <w:r w:rsidRPr="00013E2B">
        <w:rPr>
          <w:rFonts w:ascii="Times New Roman" w:eastAsia="Times New Roman" w:hAnsi="Times New Roman" w:cs="Times New Roman"/>
          <w:sz w:val="24"/>
          <w:szCs w:val="24"/>
        </w:rPr>
        <w:t xml:space="preserve">” AND “randomized” AND “positional vertigo” OR “positioning vertigo” OR “positional nystagmus” OR “positioning nystagmus.”  Inclusion criteria for the systematic review included the following: (1) individuals diagnosed with </w:t>
      </w:r>
      <w:proofErr w:type="spellStart"/>
      <w:r w:rsidRPr="00013E2B">
        <w:rPr>
          <w:rFonts w:ascii="Times New Roman" w:eastAsia="Times New Roman" w:hAnsi="Times New Roman" w:cs="Times New Roman"/>
          <w:sz w:val="24"/>
          <w:szCs w:val="24"/>
        </w:rPr>
        <w:t>canalolithiasis</w:t>
      </w:r>
      <w:proofErr w:type="spellEnd"/>
      <w:r w:rsidRPr="00013E2B">
        <w:rPr>
          <w:rFonts w:ascii="Times New Roman" w:eastAsia="Times New Roman" w:hAnsi="Times New Roman" w:cs="Times New Roman"/>
          <w:sz w:val="24"/>
          <w:szCs w:val="24"/>
        </w:rPr>
        <w:t xml:space="preserve"> of the posterior semicircular canal, (2) the </w:t>
      </w:r>
      <w:proofErr w:type="spellStart"/>
      <w:r w:rsidRPr="00013E2B">
        <w:rPr>
          <w:rFonts w:ascii="Times New Roman" w:eastAsia="Times New Roman" w:hAnsi="Times New Roman" w:cs="Times New Roman"/>
          <w:sz w:val="24"/>
          <w:szCs w:val="24"/>
        </w:rPr>
        <w:t>Semont</w:t>
      </w:r>
      <w:proofErr w:type="spellEnd"/>
      <w:r w:rsidRPr="00013E2B">
        <w:rPr>
          <w:rFonts w:ascii="Times New Roman" w:eastAsia="Times New Roman" w:hAnsi="Times New Roman" w:cs="Times New Roman"/>
          <w:sz w:val="24"/>
          <w:szCs w:val="24"/>
        </w:rPr>
        <w:t xml:space="preserve"> or modified </w:t>
      </w:r>
      <w:proofErr w:type="spellStart"/>
      <w:r w:rsidRPr="00013E2B">
        <w:rPr>
          <w:rFonts w:ascii="Times New Roman" w:eastAsia="Times New Roman" w:hAnsi="Times New Roman" w:cs="Times New Roman"/>
          <w:sz w:val="24"/>
          <w:szCs w:val="24"/>
        </w:rPr>
        <w:t>Semont</w:t>
      </w:r>
      <w:proofErr w:type="spellEnd"/>
      <w:r w:rsidRPr="00013E2B">
        <w:rPr>
          <w:rFonts w:ascii="Times New Roman" w:eastAsia="Times New Roman" w:hAnsi="Times New Roman" w:cs="Times New Roman"/>
          <w:sz w:val="24"/>
          <w:szCs w:val="24"/>
        </w:rPr>
        <w:t xml:space="preserve"> maneuver as the intervention, (3) the </w:t>
      </w:r>
      <w:proofErr w:type="spellStart"/>
      <w:r w:rsidRPr="00013E2B">
        <w:rPr>
          <w:rFonts w:ascii="Times New Roman" w:eastAsia="Times New Roman" w:hAnsi="Times New Roman" w:cs="Times New Roman"/>
          <w:sz w:val="24"/>
          <w:szCs w:val="24"/>
        </w:rPr>
        <w:t>Epley</w:t>
      </w:r>
      <w:proofErr w:type="spellEnd"/>
      <w:r w:rsidRPr="00013E2B">
        <w:rPr>
          <w:rFonts w:ascii="Times New Roman" w:eastAsia="Times New Roman" w:hAnsi="Times New Roman" w:cs="Times New Roman"/>
          <w:sz w:val="24"/>
          <w:szCs w:val="24"/>
        </w:rPr>
        <w:t xml:space="preserve"> or modified </w:t>
      </w:r>
      <w:proofErr w:type="spellStart"/>
      <w:r w:rsidRPr="00013E2B">
        <w:rPr>
          <w:rFonts w:ascii="Times New Roman" w:eastAsia="Times New Roman" w:hAnsi="Times New Roman" w:cs="Times New Roman"/>
          <w:sz w:val="24"/>
          <w:szCs w:val="24"/>
        </w:rPr>
        <w:t>Epley</w:t>
      </w:r>
      <w:proofErr w:type="spellEnd"/>
      <w:r w:rsidRPr="00013E2B">
        <w:rPr>
          <w:rFonts w:ascii="Times New Roman" w:eastAsia="Times New Roman" w:hAnsi="Times New Roman" w:cs="Times New Roman"/>
          <w:sz w:val="24"/>
          <w:szCs w:val="24"/>
        </w:rPr>
        <w:t xml:space="preserve"> maneuver as the comparative intervention, (4) cessation of nystagmus as the outcome measure, and (5) randomized controlled trials.  The 2011 Oxford Centre for Evidenced-Based Medicine Guide was used to assess the level of evidence for all of the included studies.  The methodological rigor for all of the included studies was assessed using the </w:t>
      </w:r>
      <w:proofErr w:type="spellStart"/>
      <w:r w:rsidRPr="00013E2B">
        <w:rPr>
          <w:rFonts w:ascii="Times New Roman" w:eastAsia="Times New Roman" w:hAnsi="Times New Roman" w:cs="Times New Roman"/>
          <w:sz w:val="24"/>
          <w:szCs w:val="24"/>
        </w:rPr>
        <w:t>PEDro</w:t>
      </w:r>
      <w:proofErr w:type="spellEnd"/>
      <w:r w:rsidRPr="00013E2B">
        <w:rPr>
          <w:rFonts w:ascii="Times New Roman" w:eastAsia="Times New Roman" w:hAnsi="Times New Roman" w:cs="Times New Roman"/>
          <w:sz w:val="24"/>
          <w:szCs w:val="24"/>
        </w:rPr>
        <w:t xml:space="preserve"> scale.  </w:t>
      </w:r>
      <w:r w:rsidRPr="00013E2B">
        <w:rPr>
          <w:rFonts w:ascii="Times New Roman" w:eastAsia="Times New Roman" w:hAnsi="Times New Roman" w:cs="Times New Roman"/>
          <w:b/>
          <w:bCs/>
          <w:sz w:val="24"/>
          <w:szCs w:val="24"/>
        </w:rPr>
        <w:t xml:space="preserve">RESULTS: </w:t>
      </w:r>
      <w:r w:rsidRPr="00013E2B">
        <w:rPr>
          <w:rFonts w:ascii="Times New Roman" w:eastAsia="Times New Roman" w:hAnsi="Times New Roman" w:cs="Times New Roman"/>
          <w:sz w:val="24"/>
          <w:szCs w:val="24"/>
        </w:rPr>
        <w:t xml:space="preserve">A total of 85 articles were identified through a search of the 3 electronic databases as well as through other sources.  Six of these articles met the inclusion criteria and were used in this systematic review.  Of these 6 studies, 4 of them found no statistically significant differences between the </w:t>
      </w:r>
      <w:proofErr w:type="spellStart"/>
      <w:r w:rsidRPr="00013E2B">
        <w:rPr>
          <w:rFonts w:ascii="Times New Roman" w:eastAsia="Times New Roman" w:hAnsi="Times New Roman" w:cs="Times New Roman"/>
          <w:sz w:val="24"/>
          <w:szCs w:val="24"/>
        </w:rPr>
        <w:t>Epley</w:t>
      </w:r>
      <w:proofErr w:type="spellEnd"/>
      <w:r w:rsidRPr="00013E2B">
        <w:rPr>
          <w:rFonts w:ascii="Times New Roman" w:eastAsia="Times New Roman" w:hAnsi="Times New Roman" w:cs="Times New Roman"/>
          <w:sz w:val="24"/>
          <w:szCs w:val="24"/>
        </w:rPr>
        <w:t xml:space="preserve"> maneuver and the </w:t>
      </w:r>
      <w:proofErr w:type="spellStart"/>
      <w:r w:rsidRPr="00013E2B">
        <w:rPr>
          <w:rFonts w:ascii="Times New Roman" w:eastAsia="Times New Roman" w:hAnsi="Times New Roman" w:cs="Times New Roman"/>
          <w:sz w:val="24"/>
          <w:szCs w:val="24"/>
        </w:rPr>
        <w:t>Semont</w:t>
      </w:r>
      <w:proofErr w:type="spellEnd"/>
      <w:r w:rsidRPr="00013E2B">
        <w:rPr>
          <w:rFonts w:ascii="Times New Roman" w:eastAsia="Times New Roman" w:hAnsi="Times New Roman" w:cs="Times New Roman"/>
          <w:sz w:val="24"/>
          <w:szCs w:val="24"/>
        </w:rPr>
        <w:t xml:space="preserve"> maneuver at all of the follow-ups.  </w:t>
      </w:r>
      <w:r w:rsidRPr="00013E2B">
        <w:rPr>
          <w:rFonts w:ascii="Times New Roman" w:eastAsia="Times New Roman" w:hAnsi="Times New Roman" w:cs="Times New Roman"/>
          <w:b/>
          <w:bCs/>
          <w:sz w:val="24"/>
          <w:szCs w:val="24"/>
        </w:rPr>
        <w:t>DISCUSSION:</w:t>
      </w:r>
      <w:r w:rsidRPr="00013E2B">
        <w:rPr>
          <w:rFonts w:ascii="Times New Roman" w:eastAsia="Times New Roman" w:hAnsi="Times New Roman" w:cs="Times New Roman"/>
          <w:sz w:val="24"/>
          <w:szCs w:val="24"/>
        </w:rPr>
        <w:t xml:space="preserve"> Because the first step of the </w:t>
      </w:r>
      <w:proofErr w:type="spellStart"/>
      <w:r w:rsidRPr="00013E2B">
        <w:rPr>
          <w:rFonts w:ascii="Times New Roman" w:eastAsia="Times New Roman" w:hAnsi="Times New Roman" w:cs="Times New Roman"/>
          <w:sz w:val="24"/>
          <w:szCs w:val="24"/>
        </w:rPr>
        <w:t>Epley</w:t>
      </w:r>
      <w:proofErr w:type="spellEnd"/>
      <w:r w:rsidRPr="00013E2B">
        <w:rPr>
          <w:rFonts w:ascii="Times New Roman" w:eastAsia="Times New Roman" w:hAnsi="Times New Roman" w:cs="Times New Roman"/>
          <w:sz w:val="24"/>
          <w:szCs w:val="24"/>
        </w:rPr>
        <w:t xml:space="preserve"> maneuver is the           Dix-</w:t>
      </w:r>
      <w:proofErr w:type="spellStart"/>
      <w:r w:rsidRPr="00013E2B">
        <w:rPr>
          <w:rFonts w:ascii="Times New Roman" w:eastAsia="Times New Roman" w:hAnsi="Times New Roman" w:cs="Times New Roman"/>
          <w:sz w:val="24"/>
          <w:szCs w:val="24"/>
        </w:rPr>
        <w:t>Hallpike</w:t>
      </w:r>
      <w:proofErr w:type="spellEnd"/>
      <w:r w:rsidRPr="00013E2B">
        <w:rPr>
          <w:rFonts w:ascii="Times New Roman" w:eastAsia="Times New Roman" w:hAnsi="Times New Roman" w:cs="Times New Roman"/>
          <w:sz w:val="24"/>
          <w:szCs w:val="24"/>
        </w:rPr>
        <w:t xml:space="preserve"> position which requires the cervical region to be passively extended 30 degrees and rotated 45 degrees, it may be unsafe to perform the </w:t>
      </w:r>
      <w:proofErr w:type="spellStart"/>
      <w:r w:rsidRPr="00013E2B">
        <w:rPr>
          <w:rFonts w:ascii="Times New Roman" w:eastAsia="Times New Roman" w:hAnsi="Times New Roman" w:cs="Times New Roman"/>
          <w:sz w:val="24"/>
          <w:szCs w:val="24"/>
        </w:rPr>
        <w:t>Epley</w:t>
      </w:r>
      <w:proofErr w:type="spellEnd"/>
      <w:r w:rsidRPr="00013E2B">
        <w:rPr>
          <w:rFonts w:ascii="Times New Roman" w:eastAsia="Times New Roman" w:hAnsi="Times New Roman" w:cs="Times New Roman"/>
          <w:sz w:val="24"/>
          <w:szCs w:val="24"/>
        </w:rPr>
        <w:t xml:space="preserve"> maneuver if an individual has cervical spine instability, a cervical disk herniation with radiculopathy, cervical myelopathy, an     Arnold-Chiari malformation, a vascular dissection syndrome, a history of cervical spine surgery, a history of acute cervical trauma, rheumatoid arthritis, carotid sinus syncope, or an aplasia of the odontoid process.  In addition, individuals with a history of low back pain or a herniated lumbar disk should be screened for symptom provocation as well as for sufficient range of motion before the </w:t>
      </w:r>
      <w:proofErr w:type="spellStart"/>
      <w:r w:rsidRPr="00013E2B">
        <w:rPr>
          <w:rFonts w:ascii="Times New Roman" w:eastAsia="Times New Roman" w:hAnsi="Times New Roman" w:cs="Times New Roman"/>
          <w:sz w:val="24"/>
          <w:szCs w:val="24"/>
        </w:rPr>
        <w:t>Epley</w:t>
      </w:r>
      <w:proofErr w:type="spellEnd"/>
      <w:r w:rsidRPr="00013E2B">
        <w:rPr>
          <w:rFonts w:ascii="Times New Roman" w:eastAsia="Times New Roman" w:hAnsi="Times New Roman" w:cs="Times New Roman"/>
          <w:sz w:val="24"/>
          <w:szCs w:val="24"/>
        </w:rPr>
        <w:t xml:space="preserve"> maneuver is selected.  Therefore, the </w:t>
      </w:r>
      <w:proofErr w:type="spellStart"/>
      <w:r w:rsidRPr="00013E2B">
        <w:rPr>
          <w:rFonts w:ascii="Times New Roman" w:eastAsia="Times New Roman" w:hAnsi="Times New Roman" w:cs="Times New Roman"/>
          <w:sz w:val="24"/>
          <w:szCs w:val="24"/>
        </w:rPr>
        <w:t>Semont</w:t>
      </w:r>
      <w:proofErr w:type="spellEnd"/>
      <w:r w:rsidRPr="00013E2B">
        <w:rPr>
          <w:rFonts w:ascii="Times New Roman" w:eastAsia="Times New Roman" w:hAnsi="Times New Roman" w:cs="Times New Roman"/>
          <w:sz w:val="24"/>
          <w:szCs w:val="24"/>
        </w:rPr>
        <w:t xml:space="preserve"> maneuver may be a safer and equally effective treatment option for </w:t>
      </w:r>
      <w:proofErr w:type="spellStart"/>
      <w:r w:rsidRPr="00013E2B">
        <w:rPr>
          <w:rFonts w:ascii="Times New Roman" w:eastAsia="Times New Roman" w:hAnsi="Times New Roman" w:cs="Times New Roman"/>
          <w:sz w:val="24"/>
          <w:szCs w:val="24"/>
        </w:rPr>
        <w:t>canalolithiasis</w:t>
      </w:r>
      <w:proofErr w:type="spellEnd"/>
      <w:r w:rsidRPr="00013E2B">
        <w:rPr>
          <w:rFonts w:ascii="Times New Roman" w:eastAsia="Times New Roman" w:hAnsi="Times New Roman" w:cs="Times New Roman"/>
          <w:sz w:val="24"/>
          <w:szCs w:val="24"/>
        </w:rPr>
        <w:t xml:space="preserve"> of the posterior semicircular canal.</w:t>
      </w:r>
      <w:r w:rsidRPr="00013E2B">
        <w:rPr>
          <w:rFonts w:ascii="Times New Roman" w:eastAsia="Times New Roman" w:hAnsi="Times New Roman" w:cs="Times New Roman"/>
          <w:b/>
          <w:bCs/>
          <w:sz w:val="24"/>
          <w:szCs w:val="24"/>
        </w:rPr>
        <w:t xml:space="preserve">  CONCLUSIONS: </w:t>
      </w:r>
      <w:r w:rsidRPr="00013E2B">
        <w:rPr>
          <w:rFonts w:ascii="Times New Roman" w:eastAsia="Times New Roman" w:hAnsi="Times New Roman" w:cs="Times New Roman"/>
          <w:sz w:val="24"/>
          <w:szCs w:val="24"/>
        </w:rPr>
        <w:t xml:space="preserve">In most cases, the </w:t>
      </w:r>
      <w:proofErr w:type="spellStart"/>
      <w:r w:rsidRPr="00013E2B">
        <w:rPr>
          <w:rFonts w:ascii="Times New Roman" w:eastAsia="Times New Roman" w:hAnsi="Times New Roman" w:cs="Times New Roman"/>
          <w:sz w:val="24"/>
          <w:szCs w:val="24"/>
        </w:rPr>
        <w:t>Semont</w:t>
      </w:r>
      <w:proofErr w:type="spellEnd"/>
      <w:r w:rsidRPr="00013E2B">
        <w:rPr>
          <w:rFonts w:ascii="Times New Roman" w:eastAsia="Times New Roman" w:hAnsi="Times New Roman" w:cs="Times New Roman"/>
          <w:sz w:val="24"/>
          <w:szCs w:val="24"/>
        </w:rPr>
        <w:t xml:space="preserve"> maneuver was equally as effective as the </w:t>
      </w:r>
      <w:proofErr w:type="spellStart"/>
      <w:r w:rsidRPr="00013E2B">
        <w:rPr>
          <w:rFonts w:ascii="Times New Roman" w:eastAsia="Times New Roman" w:hAnsi="Times New Roman" w:cs="Times New Roman"/>
          <w:sz w:val="24"/>
          <w:szCs w:val="24"/>
        </w:rPr>
        <w:t>Epley</w:t>
      </w:r>
      <w:proofErr w:type="spellEnd"/>
      <w:r w:rsidRPr="00013E2B">
        <w:rPr>
          <w:rFonts w:ascii="Times New Roman" w:eastAsia="Times New Roman" w:hAnsi="Times New Roman" w:cs="Times New Roman"/>
          <w:sz w:val="24"/>
          <w:szCs w:val="24"/>
        </w:rPr>
        <w:t xml:space="preserve"> maneuver at treating posterior canal </w:t>
      </w:r>
      <w:proofErr w:type="spellStart"/>
      <w:r w:rsidRPr="00013E2B">
        <w:rPr>
          <w:rFonts w:ascii="Times New Roman" w:eastAsia="Times New Roman" w:hAnsi="Times New Roman" w:cs="Times New Roman"/>
          <w:sz w:val="24"/>
          <w:szCs w:val="24"/>
        </w:rPr>
        <w:t>canalolithiasis</w:t>
      </w:r>
      <w:proofErr w:type="spellEnd"/>
      <w:r w:rsidRPr="00013E2B">
        <w:rPr>
          <w:rFonts w:ascii="Times New Roman" w:eastAsia="Times New Roman" w:hAnsi="Times New Roman" w:cs="Times New Roman"/>
          <w:sz w:val="24"/>
          <w:szCs w:val="24"/>
        </w:rPr>
        <w:t xml:space="preserve">.  In addition, the </w:t>
      </w:r>
      <w:proofErr w:type="spellStart"/>
      <w:r w:rsidRPr="00013E2B">
        <w:rPr>
          <w:rFonts w:ascii="Times New Roman" w:eastAsia="Times New Roman" w:hAnsi="Times New Roman" w:cs="Times New Roman"/>
          <w:sz w:val="24"/>
          <w:szCs w:val="24"/>
        </w:rPr>
        <w:t>Semont</w:t>
      </w:r>
      <w:proofErr w:type="spellEnd"/>
      <w:r w:rsidRPr="00013E2B">
        <w:rPr>
          <w:rFonts w:ascii="Times New Roman" w:eastAsia="Times New Roman" w:hAnsi="Times New Roman" w:cs="Times New Roman"/>
          <w:sz w:val="24"/>
          <w:szCs w:val="24"/>
        </w:rPr>
        <w:t xml:space="preserve"> maneuver may be a good alternative treatment option for patients with certain cervical or lumbar pathologies. </w:t>
      </w:r>
    </w:p>
    <w:p w:rsidR="005A0B0F" w:rsidRDefault="005A0B0F" w:rsidP="00013E2B">
      <w:pPr>
        <w:spacing w:after="160" w:line="256" w:lineRule="auto"/>
        <w:rPr>
          <w:rFonts w:ascii="Times New Roman" w:eastAsia="Times New Roman" w:hAnsi="Times New Roman" w:cs="Times New Roman"/>
          <w:sz w:val="24"/>
          <w:szCs w:val="24"/>
        </w:rPr>
      </w:pPr>
    </w:p>
    <w:p w:rsidR="005A0B0F" w:rsidRDefault="005A0B0F" w:rsidP="00013E2B">
      <w:pPr>
        <w:spacing w:after="160" w:line="256" w:lineRule="auto"/>
        <w:rPr>
          <w:rFonts w:ascii="Times New Roman" w:eastAsia="Times New Roman" w:hAnsi="Times New Roman" w:cs="Times New Roman"/>
          <w:sz w:val="24"/>
          <w:szCs w:val="24"/>
        </w:rPr>
      </w:pPr>
    </w:p>
    <w:p w:rsidR="005A0B0F" w:rsidRDefault="005A0B0F" w:rsidP="00013E2B">
      <w:pPr>
        <w:spacing w:after="160" w:line="256" w:lineRule="auto"/>
        <w:rPr>
          <w:rFonts w:ascii="Times New Roman" w:eastAsia="Times New Roman" w:hAnsi="Times New Roman" w:cs="Times New Roman"/>
          <w:sz w:val="24"/>
          <w:szCs w:val="24"/>
        </w:rPr>
      </w:pPr>
    </w:p>
    <w:p w:rsidR="005A0B0F" w:rsidRDefault="005A0B0F" w:rsidP="00013E2B">
      <w:pPr>
        <w:spacing w:after="160" w:line="256" w:lineRule="auto"/>
        <w:rPr>
          <w:rFonts w:ascii="Times New Roman" w:eastAsia="Times New Roman" w:hAnsi="Times New Roman" w:cs="Times New Roman"/>
          <w:sz w:val="24"/>
          <w:szCs w:val="24"/>
        </w:rPr>
      </w:pPr>
    </w:p>
    <w:p w:rsidR="00DC3151" w:rsidRPr="006C28BB" w:rsidRDefault="00DC3151" w:rsidP="006C28BB">
      <w:pPr>
        <w:spacing w:after="0" w:line="240" w:lineRule="auto"/>
        <w:rPr>
          <w:rFonts w:ascii="Times New Roman" w:eastAsia="Calibri" w:hAnsi="Times New Roman" w:cs="Times New Roman"/>
          <w:sz w:val="24"/>
          <w:szCs w:val="24"/>
        </w:rPr>
      </w:pPr>
      <w:r w:rsidRPr="00122BD6">
        <w:rPr>
          <w:rFonts w:ascii="Times New Roman" w:eastAsia="Calibri" w:hAnsi="Times New Roman" w:cs="Times New Roman"/>
          <w:b/>
          <w:sz w:val="24"/>
          <w:szCs w:val="24"/>
        </w:rPr>
        <w:lastRenderedPageBreak/>
        <w:t>3D KINEMATICS AND KINETICS OF THE OVERHEAD DEEP SQUAT IN HEALTHY MALE</w:t>
      </w:r>
      <w:r w:rsidR="00122BD6" w:rsidRPr="00122BD6">
        <w:rPr>
          <w:rFonts w:ascii="Times New Roman" w:eastAsia="Calibri" w:hAnsi="Times New Roman" w:cs="Times New Roman"/>
          <w:b/>
          <w:sz w:val="24"/>
          <w:szCs w:val="24"/>
        </w:rPr>
        <w:t>S AND FEMALES</w:t>
      </w:r>
      <w:r w:rsidR="00122BD6">
        <w:rPr>
          <w:rFonts w:ascii="Times New Roman" w:eastAsia="Calibri" w:hAnsi="Times New Roman" w:cs="Times New Roman"/>
          <w:sz w:val="24"/>
          <w:szCs w:val="24"/>
        </w:rPr>
        <w:t>.</w:t>
      </w:r>
      <w:r w:rsidRPr="006C28BB">
        <w:rPr>
          <w:rFonts w:ascii="Times New Roman" w:eastAsia="Calibri" w:hAnsi="Times New Roman" w:cs="Times New Roman"/>
          <w:sz w:val="24"/>
          <w:szCs w:val="24"/>
        </w:rPr>
        <w:t xml:space="preserve"> Van Dyke JT, </w:t>
      </w:r>
      <w:r w:rsidR="00122BD6">
        <w:rPr>
          <w:rFonts w:ascii="Times New Roman" w:eastAsia="Calibri" w:hAnsi="Times New Roman" w:cs="Times New Roman"/>
          <w:sz w:val="24"/>
          <w:szCs w:val="24"/>
        </w:rPr>
        <w:t xml:space="preserve">Waugh ZB, Wozniak RJ, </w:t>
      </w:r>
      <w:r w:rsidRPr="006C28BB">
        <w:rPr>
          <w:rFonts w:ascii="Times New Roman" w:eastAsia="Calibri" w:hAnsi="Times New Roman" w:cs="Times New Roman"/>
          <w:sz w:val="24"/>
          <w:szCs w:val="24"/>
        </w:rPr>
        <w:t>Hoogenboom BJ, Alderink GJ; Grand Valley State University, Grand Rapids, MI</w:t>
      </w:r>
      <w:r w:rsidR="00122BD6">
        <w:rPr>
          <w:rFonts w:ascii="Times New Roman" w:eastAsia="Calibri" w:hAnsi="Times New Roman" w:cs="Times New Roman"/>
          <w:sz w:val="24"/>
          <w:szCs w:val="24"/>
        </w:rPr>
        <w:t>.</w:t>
      </w:r>
    </w:p>
    <w:p w:rsidR="00DC3151" w:rsidRPr="006C28BB" w:rsidRDefault="00DC3151" w:rsidP="006C28BB">
      <w:pPr>
        <w:spacing w:after="0" w:line="240" w:lineRule="auto"/>
        <w:rPr>
          <w:rFonts w:ascii="Times New Roman" w:eastAsia="Calibri" w:hAnsi="Times New Roman" w:cs="Times New Roman"/>
          <w:sz w:val="24"/>
          <w:szCs w:val="24"/>
        </w:rPr>
      </w:pPr>
    </w:p>
    <w:p w:rsidR="004867B5" w:rsidRDefault="00DC3151" w:rsidP="006C28BB">
      <w:pPr>
        <w:spacing w:after="0" w:line="240" w:lineRule="auto"/>
        <w:rPr>
          <w:rFonts w:ascii="Times New Roman" w:eastAsia="Calibri" w:hAnsi="Times New Roman" w:cs="Times New Roman"/>
          <w:sz w:val="24"/>
          <w:szCs w:val="24"/>
        </w:rPr>
      </w:pPr>
      <w:r w:rsidRPr="001325DB">
        <w:rPr>
          <w:rFonts w:ascii="Times New Roman" w:eastAsia="Calibri" w:hAnsi="Times New Roman" w:cs="Times New Roman"/>
          <w:b/>
          <w:sz w:val="24"/>
          <w:szCs w:val="24"/>
        </w:rPr>
        <w:t>INTRODUCTION:</w:t>
      </w:r>
      <w:r w:rsidRPr="006C28BB">
        <w:rPr>
          <w:rFonts w:ascii="Times New Roman" w:eastAsia="Calibri" w:hAnsi="Times New Roman" w:cs="Times New Roman"/>
          <w:sz w:val="24"/>
          <w:szCs w:val="24"/>
        </w:rPr>
        <w:t xml:space="preserve"> The Overhead Deep Squat (OHDS) is a complex human movement pattern that requires a balance of mobility and stability in order to be performed optimally.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A comprehensive understanding of the OHDS can be achieved by the utilization of three-dimensional (3D) biomechanical analysis.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Currently, no published 3D biomechanical analysis has been performed identifying the normal </w:t>
      </w:r>
      <w:proofErr w:type="spellStart"/>
      <w:r w:rsidRPr="006C28BB">
        <w:rPr>
          <w:rFonts w:ascii="Times New Roman" w:eastAsia="Calibri" w:hAnsi="Times New Roman" w:cs="Times New Roman"/>
          <w:sz w:val="24"/>
          <w:szCs w:val="24"/>
        </w:rPr>
        <w:t>multisegmental</w:t>
      </w:r>
      <w:proofErr w:type="spellEnd"/>
      <w:r w:rsidRPr="006C28BB">
        <w:rPr>
          <w:rFonts w:ascii="Times New Roman" w:eastAsia="Calibri" w:hAnsi="Times New Roman" w:cs="Times New Roman"/>
          <w:sz w:val="24"/>
          <w:szCs w:val="24"/>
        </w:rPr>
        <w:t xml:space="preserve"> movement patterns occurring during the OHDS.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Once normative data has been established, abnormal or dysfunctional movement patterns that might be observed during the OHDS can be accurately identified and corrected by clinicians.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The purpose of this study was to build a representative database for normalized kinematic and kinetic variables of the OHDS. </w:t>
      </w:r>
      <w:r w:rsidR="001325DB">
        <w:rPr>
          <w:rFonts w:ascii="Times New Roman" w:eastAsia="Calibri" w:hAnsi="Times New Roman" w:cs="Times New Roman"/>
          <w:sz w:val="24"/>
          <w:szCs w:val="24"/>
        </w:rPr>
        <w:t xml:space="preserve"> </w:t>
      </w:r>
      <w:r w:rsidRPr="001325DB">
        <w:rPr>
          <w:rFonts w:ascii="Times New Roman" w:eastAsia="Calibri" w:hAnsi="Times New Roman" w:cs="Times New Roman"/>
          <w:b/>
          <w:sz w:val="24"/>
          <w:szCs w:val="24"/>
        </w:rPr>
        <w:t>METHODS:</w:t>
      </w:r>
      <w:r w:rsidRPr="006C28BB">
        <w:rPr>
          <w:rFonts w:ascii="Times New Roman" w:eastAsia="Calibri" w:hAnsi="Times New Roman" w:cs="Times New Roman"/>
          <w:sz w:val="24"/>
          <w:szCs w:val="24"/>
        </w:rPr>
        <w:t xml:space="preserve"> Twenty-nine females and 11 males participated in this descriptive research study.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All were healthy active participants between the ages of 18-35 years.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Each participant performed a preliminary deep squat qualification screen and the Functional Movement Screen™ (FMS™).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Kinematic data were collected during performance of the OHDS using the </w:t>
      </w:r>
      <w:proofErr w:type="spellStart"/>
      <w:r w:rsidRPr="006C28BB">
        <w:rPr>
          <w:rFonts w:ascii="Times New Roman" w:eastAsia="Calibri" w:hAnsi="Times New Roman" w:cs="Times New Roman"/>
          <w:sz w:val="24"/>
          <w:szCs w:val="24"/>
        </w:rPr>
        <w:t>Vicon</w:t>
      </w:r>
      <w:proofErr w:type="spellEnd"/>
      <w:r w:rsidRPr="006C28BB">
        <w:rPr>
          <w:rFonts w:ascii="Times New Roman" w:eastAsia="Calibri" w:hAnsi="Times New Roman" w:cs="Times New Roman"/>
          <w:sz w:val="24"/>
          <w:szCs w:val="24"/>
        </w:rPr>
        <w:t xml:space="preserve"> Motion Lab Systems 600 series motion capture system and MXT40 cameras.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Two Advanced Mechanical Technology Inc force plates were utilized to record ground reaction forces and moments.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A 73 marker set was used that included the </w:t>
      </w:r>
      <w:proofErr w:type="spellStart"/>
      <w:r w:rsidRPr="006C28BB">
        <w:rPr>
          <w:rFonts w:ascii="Times New Roman" w:eastAsia="Calibri" w:hAnsi="Times New Roman" w:cs="Times New Roman"/>
          <w:sz w:val="24"/>
          <w:szCs w:val="24"/>
        </w:rPr>
        <w:t>Vicon</w:t>
      </w:r>
      <w:proofErr w:type="spellEnd"/>
      <w:r w:rsidRPr="006C28BB">
        <w:rPr>
          <w:rFonts w:ascii="Times New Roman" w:eastAsia="Calibri" w:hAnsi="Times New Roman" w:cs="Times New Roman"/>
          <w:sz w:val="24"/>
          <w:szCs w:val="24"/>
        </w:rPr>
        <w:t xml:space="preserve"> Upper Limb, Plug-In Gait, and Oxford Multi-Segment Foot models.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Three trials of the OHDS were performed per subject</w:t>
      </w:r>
      <w:r w:rsidR="004867B5">
        <w:rPr>
          <w:rFonts w:ascii="Times New Roman" w:eastAsia="Calibri" w:hAnsi="Times New Roman" w:cs="Times New Roman"/>
          <w:sz w:val="24"/>
          <w:szCs w:val="24"/>
        </w:rPr>
        <w:t>,</w:t>
      </w:r>
      <w:r w:rsidRPr="006C28BB">
        <w:rPr>
          <w:rFonts w:ascii="Times New Roman" w:eastAsia="Calibri" w:hAnsi="Times New Roman" w:cs="Times New Roman"/>
          <w:sz w:val="24"/>
          <w:szCs w:val="24"/>
        </w:rPr>
        <w:t xml:space="preserve"> and the data were processed using Visual 3D software. </w:t>
      </w:r>
      <w:r w:rsidR="001325DB">
        <w:rPr>
          <w:rFonts w:ascii="Times New Roman" w:eastAsia="Calibri" w:hAnsi="Times New Roman" w:cs="Times New Roman"/>
          <w:sz w:val="24"/>
          <w:szCs w:val="24"/>
        </w:rPr>
        <w:t xml:space="preserve"> </w:t>
      </w:r>
      <w:r w:rsidRPr="001325DB">
        <w:rPr>
          <w:rFonts w:ascii="Times New Roman" w:eastAsia="Calibri" w:hAnsi="Times New Roman" w:cs="Times New Roman"/>
          <w:b/>
          <w:sz w:val="24"/>
          <w:szCs w:val="24"/>
        </w:rPr>
        <w:t>RESULTS:</w:t>
      </w:r>
      <w:r w:rsidRPr="006C28BB">
        <w:rPr>
          <w:rFonts w:ascii="Times New Roman" w:eastAsia="Calibri" w:hAnsi="Times New Roman" w:cs="Times New Roman"/>
          <w:sz w:val="24"/>
          <w:szCs w:val="24"/>
        </w:rPr>
        <w:t xml:space="preserve"> Mid-squat was defined as the lowest vertical point during the OHDS descent and the phase where the majority of peak kinematic values were measured.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At mid-squat</w:t>
      </w:r>
      <w:r w:rsidR="004867B5">
        <w:rPr>
          <w:rFonts w:ascii="Times New Roman" w:eastAsia="Calibri" w:hAnsi="Times New Roman" w:cs="Times New Roman"/>
          <w:sz w:val="24"/>
          <w:szCs w:val="24"/>
        </w:rPr>
        <w:t>,</w:t>
      </w:r>
      <w:r w:rsidRPr="006C28BB">
        <w:rPr>
          <w:rFonts w:ascii="Times New Roman" w:eastAsia="Calibri" w:hAnsi="Times New Roman" w:cs="Times New Roman"/>
          <w:sz w:val="24"/>
          <w:szCs w:val="24"/>
        </w:rPr>
        <w:t xml:space="preserve"> the mean ankle range of motion was 30.1 ± 4.8° of dorsiflexion, and the knee reached </w:t>
      </w:r>
      <w:r w:rsidR="004867B5">
        <w:rPr>
          <w:rFonts w:ascii="Times New Roman" w:eastAsia="Calibri" w:hAnsi="Times New Roman" w:cs="Times New Roman"/>
          <w:sz w:val="24"/>
          <w:szCs w:val="24"/>
        </w:rPr>
        <w:t xml:space="preserve">a </w:t>
      </w:r>
      <w:r w:rsidRPr="006C28BB">
        <w:rPr>
          <w:rFonts w:ascii="Times New Roman" w:eastAsia="Calibri" w:hAnsi="Times New Roman" w:cs="Times New Roman"/>
          <w:sz w:val="24"/>
          <w:szCs w:val="24"/>
        </w:rPr>
        <w:t xml:space="preserve">maximal mean flexion of 118.8 ± 19.1°.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Maximal mean knee hyperextension was -3.4 ± 5.0°.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Knee </w:t>
      </w:r>
      <w:proofErr w:type="spellStart"/>
      <w:r w:rsidRPr="006C28BB">
        <w:rPr>
          <w:rFonts w:ascii="Times New Roman" w:eastAsia="Calibri" w:hAnsi="Times New Roman" w:cs="Times New Roman"/>
          <w:sz w:val="24"/>
          <w:szCs w:val="24"/>
        </w:rPr>
        <w:t>varus</w:t>
      </w:r>
      <w:proofErr w:type="spellEnd"/>
      <w:r w:rsidRPr="006C28BB">
        <w:rPr>
          <w:rFonts w:ascii="Times New Roman" w:eastAsia="Calibri" w:hAnsi="Times New Roman" w:cs="Times New Roman"/>
          <w:sz w:val="24"/>
          <w:szCs w:val="24"/>
        </w:rPr>
        <w:t xml:space="preserve"> was greatest at initial squat and stabilized to a mean value of 10.4 ± 2.8° at mid-squat.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Knee rotation was greatest at initial squat with a mean of 27.8 ± 8.5° of external rotation and approached neutral with a mean of 2.2 </w:t>
      </w:r>
      <w:r w:rsidR="004867B5">
        <w:rPr>
          <w:rFonts w:ascii="Times New Roman" w:eastAsia="Calibri" w:hAnsi="Times New Roman" w:cs="Times New Roman"/>
          <w:sz w:val="24"/>
          <w:szCs w:val="24"/>
        </w:rPr>
        <w:t>± 11.6° of external rotation at</w:t>
      </w:r>
      <w:r w:rsidRPr="006C28BB">
        <w:rPr>
          <w:rFonts w:ascii="Times New Roman" w:eastAsia="Calibri" w:hAnsi="Times New Roman" w:cs="Times New Roman"/>
          <w:sz w:val="24"/>
          <w:szCs w:val="24"/>
        </w:rPr>
        <w:t xml:space="preserve"> mid-squat.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Hip flexion was greatest at mid-squat re</w:t>
      </w:r>
      <w:r w:rsidR="004867B5">
        <w:rPr>
          <w:rFonts w:ascii="Times New Roman" w:eastAsia="Calibri" w:hAnsi="Times New Roman" w:cs="Times New Roman"/>
          <w:sz w:val="24"/>
          <w:szCs w:val="24"/>
        </w:rPr>
        <w:t>aching a mean of 116.9 ± 15.5°</w:t>
      </w:r>
      <w:r w:rsidRPr="006C28BB">
        <w:rPr>
          <w:rFonts w:ascii="Times New Roman" w:eastAsia="Calibri" w:hAnsi="Times New Roman" w:cs="Times New Roman"/>
          <w:sz w:val="24"/>
          <w:szCs w:val="24"/>
        </w:rPr>
        <w:t xml:space="preserve">.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Hip abduction was greatest at mid-squat with a mean of 19.9 ± 4.3°.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Minimal changes in ankle frontal plane, hip transvers</w:t>
      </w:r>
      <w:r w:rsidR="004867B5">
        <w:rPr>
          <w:rFonts w:ascii="Times New Roman" w:eastAsia="Calibri" w:hAnsi="Times New Roman" w:cs="Times New Roman"/>
          <w:sz w:val="24"/>
          <w:szCs w:val="24"/>
        </w:rPr>
        <w:t>e</w:t>
      </w:r>
      <w:r w:rsidRPr="006C28BB">
        <w:rPr>
          <w:rFonts w:ascii="Times New Roman" w:eastAsia="Calibri" w:hAnsi="Times New Roman" w:cs="Times New Roman"/>
          <w:sz w:val="24"/>
          <w:szCs w:val="24"/>
        </w:rPr>
        <w:t xml:space="preserve"> plane, and foot progression angles were found.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The greatest kinematic moments occurred in relation to knee extensio</w:t>
      </w:r>
      <w:r w:rsidR="004867B5">
        <w:rPr>
          <w:rFonts w:ascii="Times New Roman" w:eastAsia="Calibri" w:hAnsi="Times New Roman" w:cs="Times New Roman"/>
          <w:sz w:val="24"/>
          <w:szCs w:val="24"/>
        </w:rPr>
        <w:t xml:space="preserve">n peaking at 0.82 ± 0.19 Nm/kg </w:t>
      </w:r>
      <w:r w:rsidRPr="006C28BB">
        <w:rPr>
          <w:rFonts w:ascii="Times New Roman" w:eastAsia="Calibri" w:hAnsi="Times New Roman" w:cs="Times New Roman"/>
          <w:sz w:val="24"/>
          <w:szCs w:val="24"/>
        </w:rPr>
        <w:t xml:space="preserve">and hip extension peaking at 0.76 ± 0.18 Nm/kg.  There was insufficient data to statistically compare between males and females.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Rep</w:t>
      </w:r>
      <w:r w:rsidR="004867B5">
        <w:rPr>
          <w:rFonts w:ascii="Times New Roman" w:eastAsia="Calibri" w:hAnsi="Times New Roman" w:cs="Times New Roman"/>
          <w:sz w:val="24"/>
          <w:szCs w:val="24"/>
        </w:rPr>
        <w:t>orted results for this study were</w:t>
      </w:r>
      <w:r w:rsidRPr="006C28BB">
        <w:rPr>
          <w:rFonts w:ascii="Times New Roman" w:eastAsia="Calibri" w:hAnsi="Times New Roman" w:cs="Times New Roman"/>
          <w:sz w:val="24"/>
          <w:szCs w:val="24"/>
        </w:rPr>
        <w:t xml:space="preserve"> limited to the ankle, knee and hip, and further analysis of the p</w:t>
      </w:r>
      <w:r w:rsidR="004867B5">
        <w:rPr>
          <w:rFonts w:ascii="Times New Roman" w:eastAsia="Calibri" w:hAnsi="Times New Roman" w:cs="Times New Roman"/>
          <w:sz w:val="24"/>
          <w:szCs w:val="24"/>
        </w:rPr>
        <w:t xml:space="preserve">elvis, trunk, and foot </w:t>
      </w:r>
      <w:r w:rsidRPr="006C28BB">
        <w:rPr>
          <w:rFonts w:ascii="Times New Roman" w:eastAsia="Calibri" w:hAnsi="Times New Roman" w:cs="Times New Roman"/>
          <w:sz w:val="24"/>
          <w:szCs w:val="24"/>
        </w:rPr>
        <w:t xml:space="preserve">is pending. </w:t>
      </w:r>
      <w:r w:rsidR="001325DB">
        <w:rPr>
          <w:rFonts w:ascii="Times New Roman" w:eastAsia="Calibri" w:hAnsi="Times New Roman" w:cs="Times New Roman"/>
          <w:sz w:val="24"/>
          <w:szCs w:val="24"/>
        </w:rPr>
        <w:t xml:space="preserve"> </w:t>
      </w:r>
      <w:r w:rsidRPr="001325DB">
        <w:rPr>
          <w:rFonts w:ascii="Times New Roman" w:eastAsia="Calibri" w:hAnsi="Times New Roman" w:cs="Times New Roman"/>
          <w:b/>
          <w:sz w:val="24"/>
          <w:szCs w:val="24"/>
        </w:rPr>
        <w:t>DISCUSSION:</w:t>
      </w:r>
      <w:r w:rsidRPr="006C28BB">
        <w:rPr>
          <w:rFonts w:ascii="Times New Roman" w:eastAsia="Calibri" w:hAnsi="Times New Roman" w:cs="Times New Roman"/>
          <w:sz w:val="24"/>
          <w:szCs w:val="24"/>
        </w:rPr>
        <w:t xml:space="preserve"> With data describing kinematic and kinetic information for the ankle, knee</w:t>
      </w:r>
      <w:r w:rsidR="004867B5">
        <w:rPr>
          <w:rFonts w:ascii="Times New Roman" w:eastAsia="Calibri" w:hAnsi="Times New Roman" w:cs="Times New Roman"/>
          <w:sz w:val="24"/>
          <w:szCs w:val="24"/>
        </w:rPr>
        <w:t>,</w:t>
      </w:r>
      <w:r w:rsidRPr="006C28BB">
        <w:rPr>
          <w:rFonts w:ascii="Times New Roman" w:eastAsia="Calibri" w:hAnsi="Times New Roman" w:cs="Times New Roman"/>
          <w:sz w:val="24"/>
          <w:szCs w:val="24"/>
        </w:rPr>
        <w:t xml:space="preserve"> and hip during the OHDS in healthy individuals, it becomes possible to identify limitations or deviations that are difficult to visually identify and thus may not be considered.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Clinicians may use such data to objectively analyze the OHDS in training and rehabilitation settings to identify limitations and address biomechanics.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As expected, the greatest range in motion occurred in the sagittal plane, consisting of ankle dorsiflexion/plantarflexion, knee flexion/extension, and hip flexion/extension.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However, the motions in the frontal and transverse planes are important to provide adequate motion to complete the OHDS. </w:t>
      </w:r>
      <w:r w:rsidR="001325DB">
        <w:rPr>
          <w:rFonts w:ascii="Times New Roman" w:eastAsia="Calibri" w:hAnsi="Times New Roman" w:cs="Times New Roman"/>
          <w:sz w:val="24"/>
          <w:szCs w:val="24"/>
        </w:rPr>
        <w:t xml:space="preserve"> </w:t>
      </w:r>
      <w:r w:rsidRPr="001325DB">
        <w:rPr>
          <w:rFonts w:ascii="Times New Roman" w:eastAsia="Calibri" w:hAnsi="Times New Roman" w:cs="Times New Roman"/>
          <w:b/>
          <w:sz w:val="24"/>
          <w:szCs w:val="24"/>
        </w:rPr>
        <w:t>CONCLUSION</w:t>
      </w:r>
      <w:r w:rsidR="001325DB" w:rsidRPr="001325DB">
        <w:rPr>
          <w:rFonts w:ascii="Times New Roman" w:eastAsia="Calibri" w:hAnsi="Times New Roman" w:cs="Times New Roman"/>
          <w:b/>
          <w:sz w:val="24"/>
          <w:szCs w:val="24"/>
        </w:rPr>
        <w:t>S</w:t>
      </w:r>
      <w:r w:rsidRPr="001325DB">
        <w:rPr>
          <w:rFonts w:ascii="Times New Roman" w:eastAsia="Calibri" w:hAnsi="Times New Roman" w:cs="Times New Roman"/>
          <w:b/>
          <w:sz w:val="24"/>
          <w:szCs w:val="24"/>
        </w:rPr>
        <w:t>:</w:t>
      </w:r>
      <w:r w:rsidRPr="006C28BB">
        <w:rPr>
          <w:rFonts w:ascii="Times New Roman" w:eastAsia="Calibri" w:hAnsi="Times New Roman" w:cs="Times New Roman"/>
          <w:sz w:val="24"/>
          <w:szCs w:val="24"/>
        </w:rPr>
        <w:t xml:space="preserve"> The results of this study offer a normative 3D representation of what occurs at the ankle, hip</w:t>
      </w:r>
      <w:r w:rsidR="004867B5">
        <w:rPr>
          <w:rFonts w:ascii="Times New Roman" w:eastAsia="Calibri" w:hAnsi="Times New Roman" w:cs="Times New Roman"/>
          <w:sz w:val="24"/>
          <w:szCs w:val="24"/>
        </w:rPr>
        <w:t>,</w:t>
      </w:r>
      <w:r w:rsidRPr="006C28BB">
        <w:rPr>
          <w:rFonts w:ascii="Times New Roman" w:eastAsia="Calibri" w:hAnsi="Times New Roman" w:cs="Times New Roman"/>
          <w:sz w:val="24"/>
          <w:szCs w:val="24"/>
        </w:rPr>
        <w:t xml:space="preserve"> and knee during the OHDS. </w:t>
      </w:r>
      <w:r w:rsidR="001325D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Due to the variety of subject characteristics</w:t>
      </w:r>
      <w:r w:rsidR="004867B5">
        <w:rPr>
          <w:rFonts w:ascii="Times New Roman" w:eastAsia="Calibri" w:hAnsi="Times New Roman" w:cs="Times New Roman"/>
          <w:sz w:val="24"/>
          <w:szCs w:val="24"/>
        </w:rPr>
        <w:t>,</w:t>
      </w:r>
      <w:r w:rsidRPr="006C28BB">
        <w:rPr>
          <w:rFonts w:ascii="Times New Roman" w:eastAsia="Calibri" w:hAnsi="Times New Roman" w:cs="Times New Roman"/>
          <w:sz w:val="24"/>
          <w:szCs w:val="24"/>
        </w:rPr>
        <w:t xml:space="preserve"> these results can be used as the normative data to which f</w:t>
      </w:r>
      <w:r w:rsidR="004867B5">
        <w:rPr>
          <w:rFonts w:ascii="Times New Roman" w:eastAsia="Calibri" w:hAnsi="Times New Roman" w:cs="Times New Roman"/>
          <w:sz w:val="24"/>
          <w:szCs w:val="24"/>
        </w:rPr>
        <w:t xml:space="preserve">uture subjects can be compared </w:t>
      </w:r>
      <w:r w:rsidRPr="006C28BB">
        <w:rPr>
          <w:rFonts w:ascii="Times New Roman" w:eastAsia="Calibri" w:hAnsi="Times New Roman" w:cs="Times New Roman"/>
          <w:sz w:val="24"/>
          <w:szCs w:val="24"/>
        </w:rPr>
        <w:t>across any plane of motion throughout the entirety of the OHDS.</w:t>
      </w:r>
    </w:p>
    <w:p w:rsidR="005A0B0F" w:rsidRPr="004867B5" w:rsidRDefault="005A0B0F" w:rsidP="006C28BB">
      <w:pPr>
        <w:spacing w:after="0" w:line="240" w:lineRule="auto"/>
        <w:rPr>
          <w:rFonts w:ascii="Times New Roman" w:eastAsia="Calibri" w:hAnsi="Times New Roman" w:cs="Times New Roman"/>
          <w:sz w:val="24"/>
          <w:szCs w:val="24"/>
        </w:rPr>
      </w:pPr>
      <w:r w:rsidRPr="00122BD6">
        <w:rPr>
          <w:rFonts w:ascii="Times New Roman" w:eastAsia="Calibri" w:hAnsi="Times New Roman" w:cs="Times New Roman"/>
          <w:b/>
          <w:sz w:val="24"/>
          <w:szCs w:val="24"/>
        </w:rPr>
        <w:lastRenderedPageBreak/>
        <w:t>EMG ANALYSIS OF MUSCLES IN COLLEGE-LEVEL CLARINET PLAYING: A DESCRIPTIVE PILOT CASE SERIES</w:t>
      </w:r>
      <w:r w:rsidR="00122BD6" w:rsidRPr="00122BD6">
        <w:rPr>
          <w:rFonts w:ascii="Times New Roman" w:eastAsia="Calibri" w:hAnsi="Times New Roman" w:cs="Times New Roman"/>
          <w:b/>
          <w:sz w:val="24"/>
          <w:szCs w:val="24"/>
        </w:rPr>
        <w:t>.</w:t>
      </w:r>
      <w:r w:rsidR="00122BD6">
        <w:rPr>
          <w:rFonts w:ascii="Times New Roman" w:eastAsia="Calibri" w:hAnsi="Times New Roman" w:cs="Times New Roman"/>
          <w:b/>
          <w:sz w:val="24"/>
          <w:szCs w:val="24"/>
        </w:rPr>
        <w:t xml:space="preserve"> </w:t>
      </w:r>
      <w:r w:rsidRPr="006C28BB">
        <w:rPr>
          <w:rFonts w:ascii="Times New Roman" w:eastAsia="Calibri" w:hAnsi="Times New Roman" w:cs="Times New Roman"/>
          <w:sz w:val="24"/>
          <w:szCs w:val="24"/>
        </w:rPr>
        <w:t>Jongekrijg D, Pyrett E, Start E, Baker B, Alderink G, Campbell A; Grand Valley State University, Grand Rapids, MI</w:t>
      </w:r>
      <w:r w:rsidR="00122BD6">
        <w:rPr>
          <w:rFonts w:ascii="Times New Roman" w:eastAsia="Calibri" w:hAnsi="Times New Roman" w:cs="Times New Roman"/>
          <w:sz w:val="24"/>
          <w:szCs w:val="24"/>
        </w:rPr>
        <w:t>.</w:t>
      </w:r>
    </w:p>
    <w:p w:rsidR="005A0B0F" w:rsidRPr="006C28BB" w:rsidRDefault="005A0B0F" w:rsidP="006C28BB">
      <w:pPr>
        <w:spacing w:after="0" w:line="240" w:lineRule="auto"/>
        <w:rPr>
          <w:rFonts w:ascii="Times New Roman" w:eastAsia="Calibri" w:hAnsi="Times New Roman" w:cs="Times New Roman"/>
          <w:sz w:val="24"/>
          <w:szCs w:val="24"/>
        </w:rPr>
      </w:pPr>
    </w:p>
    <w:p w:rsidR="005A0B0F" w:rsidRPr="006C28BB" w:rsidRDefault="005A0B0F" w:rsidP="006C28BB">
      <w:pPr>
        <w:spacing w:after="0" w:line="240" w:lineRule="auto"/>
        <w:rPr>
          <w:rFonts w:ascii="Times New Roman" w:eastAsia="Calibri" w:hAnsi="Times New Roman" w:cs="Times New Roman"/>
          <w:sz w:val="24"/>
          <w:szCs w:val="24"/>
        </w:rPr>
      </w:pPr>
      <w:r w:rsidRPr="006B5E3B">
        <w:rPr>
          <w:rFonts w:ascii="Times New Roman" w:eastAsia="Calibri" w:hAnsi="Times New Roman" w:cs="Times New Roman"/>
          <w:b/>
          <w:sz w:val="24"/>
          <w:szCs w:val="24"/>
        </w:rPr>
        <w:t>INTRODUCTION:</w:t>
      </w:r>
      <w:r w:rsidRPr="006C28BB">
        <w:rPr>
          <w:rFonts w:ascii="Times New Roman" w:eastAsia="Calibri" w:hAnsi="Times New Roman" w:cs="Times New Roman"/>
          <w:sz w:val="24"/>
          <w:szCs w:val="24"/>
        </w:rPr>
        <w:t xml:space="preserve"> Little is known about </w:t>
      </w:r>
      <w:r w:rsidR="00AA4BD7">
        <w:rPr>
          <w:rFonts w:ascii="Times New Roman" w:eastAsia="Calibri" w:hAnsi="Times New Roman" w:cs="Times New Roman"/>
          <w:sz w:val="24"/>
          <w:szCs w:val="24"/>
        </w:rPr>
        <w:t xml:space="preserve">the </w:t>
      </w:r>
      <w:r w:rsidRPr="006C28BB">
        <w:rPr>
          <w:rFonts w:ascii="Times New Roman" w:eastAsia="Calibri" w:hAnsi="Times New Roman" w:cs="Times New Roman"/>
          <w:sz w:val="24"/>
          <w:szCs w:val="24"/>
        </w:rPr>
        <w:t xml:space="preserve">muscle activation that occurs in performance of facial and breath support musculature while playing the clarinet. </w:t>
      </w:r>
      <w:r w:rsidR="006B5E3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Understanding how muscles are normally activated may aid in treating and preventing injuries, enhancing performance through biofeedback, or finding the optimal position in musicians. </w:t>
      </w:r>
      <w:r w:rsidR="006B5E3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The purpose of this study was to use </w:t>
      </w:r>
      <w:proofErr w:type="spellStart"/>
      <w:r w:rsidRPr="006C28BB">
        <w:rPr>
          <w:rFonts w:ascii="Times New Roman" w:eastAsia="Calibri" w:hAnsi="Times New Roman" w:cs="Times New Roman"/>
          <w:sz w:val="24"/>
          <w:szCs w:val="24"/>
        </w:rPr>
        <w:t>sEMG</w:t>
      </w:r>
      <w:proofErr w:type="spellEnd"/>
      <w:r w:rsidRPr="006C28BB">
        <w:rPr>
          <w:rFonts w:ascii="Times New Roman" w:eastAsia="Calibri" w:hAnsi="Times New Roman" w:cs="Times New Roman"/>
          <w:sz w:val="24"/>
          <w:szCs w:val="24"/>
        </w:rPr>
        <w:t xml:space="preserve"> to analyze muscle activity in the masseter, sternocleidomastoid (SCM), and external abdominal </w:t>
      </w:r>
      <w:proofErr w:type="spellStart"/>
      <w:r w:rsidRPr="006C28BB">
        <w:rPr>
          <w:rFonts w:ascii="Times New Roman" w:eastAsia="Calibri" w:hAnsi="Times New Roman" w:cs="Times New Roman"/>
          <w:sz w:val="24"/>
          <w:szCs w:val="24"/>
        </w:rPr>
        <w:t>obliques</w:t>
      </w:r>
      <w:proofErr w:type="spellEnd"/>
      <w:r w:rsidRPr="006C28BB">
        <w:rPr>
          <w:rFonts w:ascii="Times New Roman" w:eastAsia="Calibri" w:hAnsi="Times New Roman" w:cs="Times New Roman"/>
          <w:sz w:val="24"/>
          <w:szCs w:val="24"/>
        </w:rPr>
        <w:t xml:space="preserve"> (EO) during clarinet playing in standing position across three similar college students</w:t>
      </w:r>
      <w:r w:rsidRPr="006B5E3B">
        <w:rPr>
          <w:rFonts w:ascii="Times New Roman" w:eastAsia="Calibri" w:hAnsi="Times New Roman" w:cs="Times New Roman"/>
          <w:sz w:val="24"/>
          <w:szCs w:val="24"/>
        </w:rPr>
        <w:t xml:space="preserve">. </w:t>
      </w:r>
      <w:r w:rsidR="006B5E3B">
        <w:rPr>
          <w:rFonts w:ascii="Times New Roman" w:eastAsia="Calibri" w:hAnsi="Times New Roman" w:cs="Times New Roman"/>
          <w:sz w:val="24"/>
          <w:szCs w:val="24"/>
        </w:rPr>
        <w:t xml:space="preserve"> </w:t>
      </w:r>
      <w:r w:rsidRPr="006B5E3B">
        <w:rPr>
          <w:rFonts w:ascii="Times New Roman" w:eastAsia="Calibri" w:hAnsi="Times New Roman" w:cs="Times New Roman"/>
          <w:b/>
          <w:sz w:val="24"/>
          <w:szCs w:val="24"/>
        </w:rPr>
        <w:t>METHODS:</w:t>
      </w:r>
      <w:r w:rsidR="006B5E3B">
        <w:rPr>
          <w:rFonts w:ascii="Times New Roman" w:eastAsia="Calibri" w:hAnsi="Times New Roman" w:cs="Times New Roman"/>
          <w:sz w:val="24"/>
          <w:szCs w:val="24"/>
        </w:rPr>
        <w:t xml:space="preserve"> This study was a</w:t>
      </w:r>
      <w:r w:rsidRPr="006C28BB">
        <w:rPr>
          <w:rFonts w:ascii="Times New Roman" w:eastAsia="Calibri" w:hAnsi="Times New Roman" w:cs="Times New Roman"/>
          <w:sz w:val="24"/>
          <w:szCs w:val="24"/>
        </w:rPr>
        <w:t xml:space="preserve"> descriptive pilot case </w:t>
      </w:r>
      <w:r w:rsidR="006B5E3B">
        <w:rPr>
          <w:rFonts w:ascii="Times New Roman" w:eastAsia="Calibri" w:hAnsi="Times New Roman" w:cs="Times New Roman"/>
          <w:sz w:val="24"/>
          <w:szCs w:val="24"/>
        </w:rPr>
        <w:t xml:space="preserve">series.  The subjects were </w:t>
      </w:r>
      <w:r w:rsidR="00AA4BD7">
        <w:rPr>
          <w:rFonts w:ascii="Times New Roman" w:eastAsia="Calibri" w:hAnsi="Times New Roman" w:cs="Times New Roman"/>
          <w:sz w:val="24"/>
          <w:szCs w:val="24"/>
        </w:rPr>
        <w:t>three</w:t>
      </w:r>
      <w:r w:rsidRPr="006C28BB">
        <w:rPr>
          <w:rFonts w:ascii="Times New Roman" w:eastAsia="Calibri" w:hAnsi="Times New Roman" w:cs="Times New Roman"/>
          <w:sz w:val="24"/>
          <w:szCs w:val="24"/>
        </w:rPr>
        <w:t xml:space="preserve"> experienced college clarinet players from GVSU majoring in music performance. </w:t>
      </w:r>
      <w:r w:rsidR="006B5E3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Subjects were screened by an experienced clarinetist and professor. </w:t>
      </w:r>
      <w:r w:rsidR="006B5E3B">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Subjects reported practicing daily and had been playing fo</w:t>
      </w:r>
      <w:r w:rsidR="006B5E3B">
        <w:rPr>
          <w:rFonts w:ascii="Times New Roman" w:eastAsia="Calibri" w:hAnsi="Times New Roman" w:cs="Times New Roman"/>
          <w:sz w:val="24"/>
          <w:szCs w:val="24"/>
        </w:rPr>
        <w:t xml:space="preserve">r &gt;10 years.  </w:t>
      </w:r>
      <w:r w:rsidRPr="006C28BB">
        <w:rPr>
          <w:rFonts w:ascii="Times New Roman" w:eastAsia="Calibri" w:hAnsi="Times New Roman" w:cs="Times New Roman"/>
          <w:sz w:val="24"/>
          <w:szCs w:val="24"/>
        </w:rPr>
        <w:t xml:space="preserve">A questionnaire screened subjects for inclusion/exclusion criteria.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A musculoskeletal screen determined similarities/differences between players.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Subjects had surface electrodes placed on bilateral masseters, SCMs, and EOs.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A maximum voluntary contraction (MVC) was collected from each muscle examined.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Data was collected at each musc</w:t>
      </w:r>
      <w:r w:rsidR="00771A6D">
        <w:rPr>
          <w:rFonts w:ascii="Times New Roman" w:eastAsia="Calibri" w:hAnsi="Times New Roman" w:cs="Times New Roman"/>
          <w:sz w:val="24"/>
          <w:szCs w:val="24"/>
        </w:rPr>
        <w:t>le while playing the F major, 3-</w:t>
      </w:r>
      <w:r w:rsidRPr="006C28BB">
        <w:rPr>
          <w:rFonts w:ascii="Times New Roman" w:eastAsia="Calibri" w:hAnsi="Times New Roman" w:cs="Times New Roman"/>
          <w:sz w:val="24"/>
          <w:szCs w:val="24"/>
        </w:rPr>
        <w:t xml:space="preserve">octave scale on the clarinet. </w:t>
      </w:r>
      <w:r w:rsidR="00220982">
        <w:rPr>
          <w:rFonts w:ascii="Times New Roman" w:eastAsia="Calibri" w:hAnsi="Times New Roman" w:cs="Times New Roman"/>
          <w:sz w:val="24"/>
          <w:szCs w:val="24"/>
        </w:rPr>
        <w:t xml:space="preserve"> </w:t>
      </w:r>
      <w:r w:rsidR="00AA4BD7">
        <w:rPr>
          <w:rFonts w:ascii="Times New Roman" w:eastAsia="Calibri" w:hAnsi="Times New Roman" w:cs="Times New Roman"/>
          <w:sz w:val="24"/>
          <w:szCs w:val="24"/>
        </w:rPr>
        <w:t>EMG analysis included two</w:t>
      </w:r>
      <w:r w:rsidRPr="006C28BB">
        <w:rPr>
          <w:rFonts w:ascii="Times New Roman" w:eastAsia="Calibri" w:hAnsi="Times New Roman" w:cs="Times New Roman"/>
          <w:sz w:val="24"/>
          <w:szCs w:val="24"/>
        </w:rPr>
        <w:t xml:space="preserve"> different types of surface electrodes.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Motional Labs Systems (MLS) software collected the data</w:t>
      </w:r>
      <w:r w:rsidR="00AA4BD7">
        <w:rPr>
          <w:rFonts w:ascii="Times New Roman" w:eastAsia="Calibri" w:hAnsi="Times New Roman" w:cs="Times New Roman"/>
          <w:sz w:val="24"/>
          <w:szCs w:val="24"/>
        </w:rPr>
        <w:t>,</w:t>
      </w:r>
      <w:r w:rsidRPr="006C28BB">
        <w:rPr>
          <w:rFonts w:ascii="Times New Roman" w:eastAsia="Calibri" w:hAnsi="Times New Roman" w:cs="Times New Roman"/>
          <w:sz w:val="24"/>
          <w:szCs w:val="24"/>
        </w:rPr>
        <w:t xml:space="preserve"> and WINDAQ was used to image the data.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MLS software filtered and rectified the data.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RData2 software converted the files into a form that could be read by Microsoft Excel.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Each data point from the MVCs and the dynamic playing data was imaged in Excel.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The averages of the MVCs and </w:t>
      </w:r>
      <w:r w:rsidR="00AA4BD7">
        <w:rPr>
          <w:rFonts w:ascii="Times New Roman" w:eastAsia="Calibri" w:hAnsi="Times New Roman" w:cs="Times New Roman"/>
          <w:sz w:val="24"/>
          <w:szCs w:val="24"/>
        </w:rPr>
        <w:t xml:space="preserve">the </w:t>
      </w:r>
      <w:r w:rsidRPr="006C28BB">
        <w:rPr>
          <w:rFonts w:ascii="Times New Roman" w:eastAsia="Calibri" w:hAnsi="Times New Roman" w:cs="Times New Roman"/>
          <w:sz w:val="24"/>
          <w:szCs w:val="24"/>
        </w:rPr>
        <w:t xml:space="preserve">dynamic playing data were calculated for each muscle.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The average percentage of MVC was then calculated for the dynamic playing data. </w:t>
      </w:r>
      <w:r w:rsidR="00220982">
        <w:rPr>
          <w:rFonts w:ascii="Times New Roman" w:eastAsia="Calibri" w:hAnsi="Times New Roman" w:cs="Times New Roman"/>
          <w:sz w:val="24"/>
          <w:szCs w:val="24"/>
        </w:rPr>
        <w:t xml:space="preserve"> </w:t>
      </w:r>
      <w:r w:rsidRPr="006B5E3B">
        <w:rPr>
          <w:rFonts w:ascii="Times New Roman" w:eastAsia="Calibri" w:hAnsi="Times New Roman" w:cs="Times New Roman"/>
          <w:b/>
          <w:sz w:val="24"/>
          <w:szCs w:val="24"/>
        </w:rPr>
        <w:t>RESULTS:</w:t>
      </w:r>
      <w:r w:rsidRPr="006C28BB">
        <w:rPr>
          <w:rFonts w:ascii="Times New Roman" w:eastAsia="Calibri" w:hAnsi="Times New Roman" w:cs="Times New Roman"/>
          <w:sz w:val="24"/>
          <w:szCs w:val="24"/>
        </w:rPr>
        <w:t xml:space="preserve"> There were differences in muscle activation from left to right musculature within subjects.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Once normalized, these</w:t>
      </w:r>
      <w:r w:rsidR="00AA4BD7">
        <w:rPr>
          <w:rFonts w:ascii="Times New Roman" w:eastAsia="Calibri" w:hAnsi="Times New Roman" w:cs="Times New Roman"/>
          <w:sz w:val="24"/>
          <w:szCs w:val="24"/>
        </w:rPr>
        <w:t xml:space="preserve"> differences were minimized.  However,</w:t>
      </w:r>
      <w:r w:rsidRPr="006C28BB">
        <w:rPr>
          <w:rFonts w:ascii="Times New Roman" w:eastAsia="Calibri" w:hAnsi="Times New Roman" w:cs="Times New Roman"/>
          <w:sz w:val="24"/>
          <w:szCs w:val="24"/>
        </w:rPr>
        <w:t xml:space="preserve"> differences remained between subjects.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There were greater differences in the muscle act</w:t>
      </w:r>
      <w:r w:rsidR="00AA4BD7">
        <w:rPr>
          <w:rFonts w:ascii="Times New Roman" w:eastAsia="Calibri" w:hAnsi="Times New Roman" w:cs="Times New Roman"/>
          <w:sz w:val="24"/>
          <w:szCs w:val="24"/>
        </w:rPr>
        <w:t>ivation of the EOs</w:t>
      </w:r>
      <w:r w:rsidRPr="006C28BB">
        <w:rPr>
          <w:rFonts w:ascii="Times New Roman" w:eastAsia="Calibri" w:hAnsi="Times New Roman" w:cs="Times New Roman"/>
          <w:sz w:val="24"/>
          <w:szCs w:val="24"/>
        </w:rPr>
        <w:t xml:space="preserve"> within and between players compared to the masseter and SCM.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Similarities were also found between the ma</w:t>
      </w:r>
      <w:r w:rsidR="00AA4BD7">
        <w:rPr>
          <w:rFonts w:ascii="Times New Roman" w:eastAsia="Calibri" w:hAnsi="Times New Roman" w:cs="Times New Roman"/>
          <w:sz w:val="24"/>
          <w:szCs w:val="24"/>
        </w:rPr>
        <w:t xml:space="preserve">sseter and SCM within subjects </w:t>
      </w:r>
      <w:r w:rsidRPr="006C28BB">
        <w:rPr>
          <w:rFonts w:ascii="Times New Roman" w:eastAsia="Calibri" w:hAnsi="Times New Roman" w:cs="Times New Roman"/>
          <w:sz w:val="24"/>
          <w:szCs w:val="24"/>
        </w:rPr>
        <w:t xml:space="preserve">but not between subjects. </w:t>
      </w:r>
      <w:r w:rsidR="00220982">
        <w:rPr>
          <w:rFonts w:ascii="Times New Roman" w:eastAsia="Calibri" w:hAnsi="Times New Roman" w:cs="Times New Roman"/>
          <w:sz w:val="24"/>
          <w:szCs w:val="24"/>
        </w:rPr>
        <w:t xml:space="preserve"> </w:t>
      </w:r>
      <w:r w:rsidRPr="006B5E3B">
        <w:rPr>
          <w:rFonts w:ascii="Times New Roman" w:eastAsia="Calibri" w:hAnsi="Times New Roman" w:cs="Times New Roman"/>
          <w:b/>
          <w:sz w:val="24"/>
          <w:szCs w:val="24"/>
        </w:rPr>
        <w:t>DISCUSSION:</w:t>
      </w:r>
      <w:r w:rsidRPr="006C28BB">
        <w:rPr>
          <w:rFonts w:ascii="Times New Roman" w:eastAsia="Calibri" w:hAnsi="Times New Roman" w:cs="Times New Roman"/>
          <w:sz w:val="24"/>
          <w:szCs w:val="24"/>
        </w:rPr>
        <w:t xml:space="preserve"> The similarities within subjects in each masseter and SCM may be due to symmetrical positioning with equal demands. </w:t>
      </w:r>
      <w:r w:rsidR="00220982">
        <w:rPr>
          <w:rFonts w:ascii="Times New Roman" w:eastAsia="Calibri" w:hAnsi="Times New Roman" w:cs="Times New Roman"/>
          <w:sz w:val="24"/>
          <w:szCs w:val="24"/>
        </w:rPr>
        <w:t xml:space="preserve"> </w:t>
      </w:r>
      <w:r w:rsidR="00AA4BD7">
        <w:rPr>
          <w:rFonts w:ascii="Times New Roman" w:eastAsia="Calibri" w:hAnsi="Times New Roman" w:cs="Times New Roman"/>
          <w:sz w:val="24"/>
          <w:szCs w:val="24"/>
        </w:rPr>
        <w:t xml:space="preserve">The differences </w:t>
      </w:r>
      <w:r w:rsidRPr="006C28BB">
        <w:rPr>
          <w:rFonts w:ascii="Times New Roman" w:eastAsia="Calibri" w:hAnsi="Times New Roman" w:cs="Times New Roman"/>
          <w:sz w:val="24"/>
          <w:szCs w:val="24"/>
        </w:rPr>
        <w:t xml:space="preserve">between </w:t>
      </w:r>
      <w:r w:rsidR="00AA4BD7">
        <w:rPr>
          <w:rFonts w:ascii="Times New Roman" w:eastAsia="Calibri" w:hAnsi="Times New Roman" w:cs="Times New Roman"/>
          <w:sz w:val="24"/>
          <w:szCs w:val="24"/>
        </w:rPr>
        <w:t>left and right EOs</w:t>
      </w:r>
      <w:r w:rsidRPr="006C28BB">
        <w:rPr>
          <w:rFonts w:ascii="Times New Roman" w:eastAsia="Calibri" w:hAnsi="Times New Roman" w:cs="Times New Roman"/>
          <w:sz w:val="24"/>
          <w:szCs w:val="24"/>
        </w:rPr>
        <w:t xml:space="preserve"> within each subject may be due to the clarinet weight largely being held by the right hand, req</w:t>
      </w:r>
      <w:r w:rsidR="00AA4BD7">
        <w:rPr>
          <w:rFonts w:ascii="Times New Roman" w:eastAsia="Calibri" w:hAnsi="Times New Roman" w:cs="Times New Roman"/>
          <w:sz w:val="24"/>
          <w:szCs w:val="24"/>
        </w:rPr>
        <w:t>uiring the left EO</w:t>
      </w:r>
      <w:r w:rsidRPr="006C28BB">
        <w:rPr>
          <w:rFonts w:ascii="Times New Roman" w:eastAsia="Calibri" w:hAnsi="Times New Roman" w:cs="Times New Roman"/>
          <w:sz w:val="24"/>
          <w:szCs w:val="24"/>
        </w:rPr>
        <w:t xml:space="preserve"> to accommodate. </w:t>
      </w:r>
      <w:r w:rsidR="00220982">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Further differences between subjects may be explained by gender, body positioning, or years of experience. </w:t>
      </w:r>
      <w:r w:rsidR="00220982">
        <w:rPr>
          <w:rFonts w:ascii="Times New Roman" w:eastAsia="Calibri" w:hAnsi="Times New Roman" w:cs="Times New Roman"/>
          <w:sz w:val="24"/>
          <w:szCs w:val="24"/>
        </w:rPr>
        <w:t xml:space="preserve"> </w:t>
      </w:r>
      <w:r w:rsidRPr="006B5E3B">
        <w:rPr>
          <w:rFonts w:ascii="Times New Roman" w:eastAsia="Calibri" w:hAnsi="Times New Roman" w:cs="Times New Roman"/>
          <w:b/>
          <w:sz w:val="24"/>
          <w:szCs w:val="24"/>
        </w:rPr>
        <w:t>CONCLUSION</w:t>
      </w:r>
      <w:r w:rsidR="006B5E3B" w:rsidRPr="006B5E3B">
        <w:rPr>
          <w:rFonts w:ascii="Times New Roman" w:eastAsia="Calibri" w:hAnsi="Times New Roman" w:cs="Times New Roman"/>
          <w:b/>
          <w:sz w:val="24"/>
          <w:szCs w:val="24"/>
        </w:rPr>
        <w:t>S:</w:t>
      </w:r>
      <w:r w:rsidRPr="006C28BB">
        <w:rPr>
          <w:rFonts w:ascii="Times New Roman" w:eastAsia="Calibri" w:hAnsi="Times New Roman" w:cs="Times New Roman"/>
          <w:sz w:val="24"/>
          <w:szCs w:val="24"/>
        </w:rPr>
        <w:t xml:space="preserve"> This study shows there are differences in muscle activation between similarly experienced college-level clarinet players. </w:t>
      </w:r>
      <w:r w:rsidR="00220982">
        <w:rPr>
          <w:rFonts w:ascii="Times New Roman" w:eastAsia="Calibri" w:hAnsi="Times New Roman" w:cs="Times New Roman"/>
          <w:sz w:val="24"/>
          <w:szCs w:val="24"/>
        </w:rPr>
        <w:t xml:space="preserve"> </w:t>
      </w:r>
      <w:r w:rsidR="00AA4BD7">
        <w:rPr>
          <w:rFonts w:ascii="Times New Roman" w:eastAsia="Calibri" w:hAnsi="Times New Roman" w:cs="Times New Roman"/>
          <w:sz w:val="24"/>
          <w:szCs w:val="24"/>
        </w:rPr>
        <w:t>The</w:t>
      </w:r>
      <w:r w:rsidRPr="006C28BB">
        <w:rPr>
          <w:rFonts w:ascii="Times New Roman" w:eastAsia="Calibri" w:hAnsi="Times New Roman" w:cs="Times New Roman"/>
          <w:sz w:val="24"/>
          <w:szCs w:val="24"/>
        </w:rPr>
        <w:t xml:space="preserve"> study was a good first step to using </w:t>
      </w:r>
      <w:proofErr w:type="spellStart"/>
      <w:r w:rsidRPr="006C28BB">
        <w:rPr>
          <w:rFonts w:ascii="Times New Roman" w:eastAsia="Calibri" w:hAnsi="Times New Roman" w:cs="Times New Roman"/>
          <w:sz w:val="24"/>
          <w:szCs w:val="24"/>
        </w:rPr>
        <w:t>sEMG</w:t>
      </w:r>
      <w:proofErr w:type="spellEnd"/>
      <w:r w:rsidRPr="006C28BB">
        <w:rPr>
          <w:rFonts w:ascii="Times New Roman" w:eastAsia="Calibri" w:hAnsi="Times New Roman" w:cs="Times New Roman"/>
          <w:sz w:val="24"/>
          <w:szCs w:val="24"/>
        </w:rPr>
        <w:t xml:space="preserve"> during clarinet playing, paving a pathway for future research to possibly focus on motor unit recruitment, biofeedback, or common activation patterns for musicians.</w:t>
      </w:r>
    </w:p>
    <w:p w:rsidR="00DC3151" w:rsidRDefault="00DC3151" w:rsidP="005A0B0F">
      <w:pPr>
        <w:spacing w:after="160" w:line="256" w:lineRule="auto"/>
        <w:rPr>
          <w:rFonts w:ascii="Calibri" w:eastAsia="Calibri" w:hAnsi="Calibri" w:cs="Times New Roman"/>
        </w:rPr>
      </w:pPr>
    </w:p>
    <w:p w:rsidR="00DC3151" w:rsidRDefault="00DC3151" w:rsidP="005A0B0F">
      <w:pPr>
        <w:spacing w:after="160" w:line="256" w:lineRule="auto"/>
        <w:rPr>
          <w:rFonts w:ascii="Calibri" w:eastAsia="Calibri" w:hAnsi="Calibri" w:cs="Times New Roman"/>
        </w:rPr>
      </w:pPr>
    </w:p>
    <w:p w:rsidR="00DC3151" w:rsidRDefault="00DC3151" w:rsidP="005A0B0F">
      <w:pPr>
        <w:spacing w:after="160" w:line="256" w:lineRule="auto"/>
        <w:rPr>
          <w:rFonts w:ascii="Calibri" w:eastAsia="Calibri" w:hAnsi="Calibri" w:cs="Times New Roman"/>
        </w:rPr>
      </w:pPr>
    </w:p>
    <w:p w:rsidR="00DC3151" w:rsidRPr="00A93D34" w:rsidRDefault="00DC3151" w:rsidP="005A0B0F">
      <w:pPr>
        <w:spacing w:after="160" w:line="256" w:lineRule="auto"/>
        <w:rPr>
          <w:rFonts w:ascii="Calibri" w:eastAsia="Calibri" w:hAnsi="Calibri" w:cs="Times New Roman"/>
        </w:rPr>
      </w:pPr>
    </w:p>
    <w:p w:rsidR="006C28BB" w:rsidRPr="00A93D34" w:rsidRDefault="006C28BB" w:rsidP="006C28BB">
      <w:pPr>
        <w:spacing w:after="0" w:line="240" w:lineRule="auto"/>
        <w:rPr>
          <w:rFonts w:ascii="Calibri" w:eastAsia="Calibri" w:hAnsi="Calibri" w:cs="Times New Roman"/>
        </w:rPr>
      </w:pPr>
    </w:p>
    <w:p w:rsidR="00DC4A9B" w:rsidRPr="00A93D34" w:rsidRDefault="00DC4A9B" w:rsidP="006C28BB">
      <w:pPr>
        <w:spacing w:after="0" w:line="240" w:lineRule="auto"/>
        <w:rPr>
          <w:rFonts w:ascii="Times New Roman" w:eastAsia="Calibri" w:hAnsi="Times New Roman" w:cs="Times New Roman"/>
          <w:sz w:val="24"/>
          <w:szCs w:val="24"/>
        </w:rPr>
      </w:pPr>
    </w:p>
    <w:p w:rsidR="00DC4A9B" w:rsidRPr="00A93D34" w:rsidRDefault="00DC4A9B" w:rsidP="006C28BB">
      <w:pPr>
        <w:spacing w:after="0" w:line="240" w:lineRule="auto"/>
        <w:rPr>
          <w:rFonts w:ascii="Times New Roman" w:eastAsia="Calibri" w:hAnsi="Times New Roman" w:cs="Times New Roman"/>
          <w:sz w:val="24"/>
          <w:szCs w:val="24"/>
        </w:rPr>
      </w:pPr>
    </w:p>
    <w:p w:rsidR="00A93D34" w:rsidRPr="00A93D34" w:rsidRDefault="00A93D34" w:rsidP="00A93D34">
      <w:pPr>
        <w:spacing w:after="0" w:line="240" w:lineRule="auto"/>
        <w:rPr>
          <w:rFonts w:ascii="Times New Roman" w:eastAsia="Calibri" w:hAnsi="Times New Roman" w:cs="Times New Roman"/>
          <w:sz w:val="24"/>
          <w:szCs w:val="24"/>
        </w:rPr>
      </w:pPr>
      <w:r w:rsidRPr="00A93D34">
        <w:rPr>
          <w:rFonts w:ascii="Times New Roman" w:eastAsia="Calibri" w:hAnsi="Times New Roman" w:cs="Times New Roman"/>
          <w:b/>
          <w:sz w:val="24"/>
          <w:szCs w:val="24"/>
        </w:rPr>
        <w:lastRenderedPageBreak/>
        <w:t>THE IMPACT OF MUSCLE ENERGY TECHNIQUE ON PAIN, FUNCTIONAL MOBILITY, AND QUALITY OF LIFE IN AN INDIVIDUAL WITH LOW BACK PAIN: A CASE REPORT.</w:t>
      </w:r>
      <w:r w:rsidRPr="00A93D34">
        <w:rPr>
          <w:rFonts w:ascii="Times New Roman" w:eastAsia="Calibri" w:hAnsi="Times New Roman" w:cs="Times New Roman"/>
          <w:sz w:val="24"/>
          <w:szCs w:val="24"/>
        </w:rPr>
        <w:t xml:space="preserve"> Nebel AS, Goehring M; Grand Valley State Un</w:t>
      </w:r>
      <w:r>
        <w:rPr>
          <w:rFonts w:ascii="Times New Roman" w:eastAsia="Calibri" w:hAnsi="Times New Roman" w:cs="Times New Roman"/>
          <w:sz w:val="24"/>
          <w:szCs w:val="24"/>
        </w:rPr>
        <w:t>iversity, Grand Rapids, MI</w:t>
      </w:r>
      <w:r w:rsidRPr="00A93D34">
        <w:rPr>
          <w:rFonts w:ascii="Times New Roman" w:eastAsia="Calibri" w:hAnsi="Times New Roman" w:cs="Times New Roman"/>
          <w:sz w:val="24"/>
          <w:szCs w:val="24"/>
        </w:rPr>
        <w:t>.</w:t>
      </w:r>
    </w:p>
    <w:p w:rsidR="00A93D34" w:rsidRPr="00A93D34" w:rsidRDefault="00A93D34" w:rsidP="00A93D34">
      <w:pPr>
        <w:spacing w:after="0" w:line="240" w:lineRule="auto"/>
        <w:rPr>
          <w:rFonts w:ascii="Times New Roman" w:eastAsia="Calibri" w:hAnsi="Times New Roman" w:cs="Times New Roman"/>
          <w:sz w:val="24"/>
          <w:szCs w:val="24"/>
        </w:rPr>
      </w:pPr>
    </w:p>
    <w:p w:rsidR="00A93D34" w:rsidRPr="003D28BF" w:rsidRDefault="00A93D34" w:rsidP="00DC4A9B">
      <w:pPr>
        <w:spacing w:after="0" w:line="240" w:lineRule="auto"/>
        <w:rPr>
          <w:rFonts w:ascii="Times New Roman" w:eastAsia="Calibri" w:hAnsi="Times New Roman" w:cs="Times New Roman"/>
          <w:sz w:val="24"/>
          <w:szCs w:val="24"/>
        </w:rPr>
      </w:pPr>
      <w:r w:rsidRPr="00A93D34">
        <w:rPr>
          <w:rFonts w:ascii="Times New Roman" w:eastAsia="Calibri" w:hAnsi="Times New Roman" w:cs="Times New Roman"/>
          <w:b/>
          <w:sz w:val="24"/>
          <w:szCs w:val="24"/>
        </w:rPr>
        <w:t>BACKGROUND AND PURPOSE:</w:t>
      </w:r>
      <w:r w:rsidRPr="00A93D34">
        <w:rPr>
          <w:rFonts w:ascii="Times New Roman" w:eastAsia="Calibri" w:hAnsi="Times New Roman" w:cs="Times New Roman"/>
          <w:sz w:val="24"/>
          <w:szCs w:val="24"/>
        </w:rPr>
        <w:t xml:space="preserve"> Low back pain (LBP) is a major cause of disability resulting in pain, reduced function, personal suffering, and societal burden in terms of health care costs and lost work productivity.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 xml:space="preserve">It is estimated that 70-85% of people experience LBP at some point in their lives and </w:t>
      </w:r>
      <w:r w:rsidR="003D28BF">
        <w:rPr>
          <w:rFonts w:ascii="Times New Roman" w:eastAsia="Calibri" w:hAnsi="Times New Roman" w:cs="Times New Roman"/>
          <w:sz w:val="24"/>
          <w:szCs w:val="24"/>
        </w:rPr>
        <w:t xml:space="preserve">that </w:t>
      </w:r>
      <w:r w:rsidRPr="00A93D34">
        <w:rPr>
          <w:rFonts w:ascii="Times New Roman" w:eastAsia="Calibri" w:hAnsi="Times New Roman" w:cs="Times New Roman"/>
          <w:sz w:val="24"/>
          <w:szCs w:val="24"/>
        </w:rPr>
        <w:t xml:space="preserve">$50 billion is spent on treating LBP annually.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 xml:space="preserve">Physical therapists are frequently involved in </w:t>
      </w:r>
      <w:r w:rsidR="003D28BF">
        <w:rPr>
          <w:rFonts w:ascii="Times New Roman" w:eastAsia="Calibri" w:hAnsi="Times New Roman" w:cs="Times New Roman"/>
          <w:sz w:val="24"/>
          <w:szCs w:val="24"/>
        </w:rPr>
        <w:t xml:space="preserve">the </w:t>
      </w:r>
      <w:r w:rsidRPr="00A93D34">
        <w:rPr>
          <w:rFonts w:ascii="Times New Roman" w:eastAsia="Calibri" w:hAnsi="Times New Roman" w:cs="Times New Roman"/>
          <w:sz w:val="24"/>
          <w:szCs w:val="24"/>
        </w:rPr>
        <w:t xml:space="preserve">treatment of individuals with LBP, providing a multitude of interventions to improve mobility and reduce pain.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 xml:space="preserve">Many individuals reduce their health care expenses and recover more quickly through conservative management provided by a physical therapist.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One treatment often provided by physical therapists is the Muscle E</w:t>
      </w:r>
      <w:r>
        <w:rPr>
          <w:rFonts w:ascii="Times New Roman" w:eastAsia="Calibri" w:hAnsi="Times New Roman" w:cs="Times New Roman"/>
          <w:sz w:val="24"/>
          <w:szCs w:val="24"/>
        </w:rPr>
        <w:t xml:space="preserve">nergy Technique (MET).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MET curr</w:t>
      </w:r>
      <w:r w:rsidR="003D28BF">
        <w:rPr>
          <w:rFonts w:ascii="Times New Roman" w:eastAsia="Calibri" w:hAnsi="Times New Roman" w:cs="Times New Roman"/>
          <w:sz w:val="24"/>
          <w:szCs w:val="24"/>
        </w:rPr>
        <w:t>ently has widespread use among</w:t>
      </w:r>
      <w:r w:rsidRPr="00A93D34">
        <w:rPr>
          <w:rFonts w:ascii="Times New Roman" w:eastAsia="Calibri" w:hAnsi="Times New Roman" w:cs="Times New Roman"/>
          <w:sz w:val="24"/>
          <w:szCs w:val="24"/>
        </w:rPr>
        <w:t xml:space="preserve"> physical therapists</w:t>
      </w:r>
      <w:r w:rsidR="00093F60">
        <w:rPr>
          <w:rFonts w:ascii="Times New Roman" w:eastAsia="Calibri" w:hAnsi="Times New Roman" w:cs="Times New Roman"/>
          <w:sz w:val="24"/>
          <w:szCs w:val="24"/>
        </w:rPr>
        <w:t>.</w:t>
      </w:r>
      <w:r w:rsidRPr="00A93D34">
        <w:rPr>
          <w:rFonts w:ascii="Times New Roman" w:eastAsia="Calibri" w:hAnsi="Times New Roman" w:cs="Times New Roman"/>
          <w:sz w:val="24"/>
          <w:szCs w:val="24"/>
        </w:rPr>
        <w:t xml:space="preserve"> </w:t>
      </w:r>
      <w:r w:rsidR="00093F60">
        <w:rPr>
          <w:rFonts w:ascii="Times New Roman" w:eastAsia="Calibri" w:hAnsi="Times New Roman" w:cs="Times New Roman"/>
          <w:sz w:val="24"/>
          <w:szCs w:val="24"/>
        </w:rPr>
        <w:t xml:space="preserve"> H</w:t>
      </w:r>
      <w:r w:rsidRPr="00A93D34">
        <w:rPr>
          <w:rFonts w:ascii="Times New Roman" w:eastAsia="Calibri" w:hAnsi="Times New Roman" w:cs="Times New Roman"/>
          <w:sz w:val="24"/>
          <w:szCs w:val="24"/>
        </w:rPr>
        <w:t xml:space="preserve">owever, there is </w:t>
      </w:r>
      <w:r w:rsidR="003D28BF">
        <w:rPr>
          <w:rFonts w:ascii="Times New Roman" w:eastAsia="Calibri" w:hAnsi="Times New Roman" w:cs="Times New Roman"/>
          <w:sz w:val="24"/>
          <w:szCs w:val="24"/>
        </w:rPr>
        <w:t xml:space="preserve">a </w:t>
      </w:r>
      <w:r w:rsidRPr="00A93D34">
        <w:rPr>
          <w:rFonts w:ascii="Times New Roman" w:eastAsia="Calibri" w:hAnsi="Times New Roman" w:cs="Times New Roman"/>
          <w:sz w:val="24"/>
          <w:szCs w:val="24"/>
        </w:rPr>
        <w:t xml:space="preserve">low quantity and quality of evidence available in the literature to support the use of MET by physical therapists to treat patients with LBP.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Th</w:t>
      </w:r>
      <w:r w:rsidR="003D28BF">
        <w:rPr>
          <w:rFonts w:ascii="Times New Roman" w:eastAsia="Calibri" w:hAnsi="Times New Roman" w:cs="Times New Roman"/>
          <w:sz w:val="24"/>
          <w:szCs w:val="24"/>
        </w:rPr>
        <w:t>e purpose of this case report was</w:t>
      </w:r>
      <w:r w:rsidRPr="00A93D34">
        <w:rPr>
          <w:rFonts w:ascii="Times New Roman" w:eastAsia="Calibri" w:hAnsi="Times New Roman" w:cs="Times New Roman"/>
          <w:sz w:val="24"/>
          <w:szCs w:val="24"/>
        </w:rPr>
        <w:t xml:space="preserve"> to describe the impact of MET usage on disability level, pain, and functional mobility in an individual with LBP treated in an outpatient physical therapy cli</w:t>
      </w:r>
      <w:r w:rsidR="00093F60">
        <w:rPr>
          <w:rFonts w:ascii="Times New Roman" w:eastAsia="Calibri" w:hAnsi="Times New Roman" w:cs="Times New Roman"/>
          <w:sz w:val="24"/>
          <w:szCs w:val="24"/>
        </w:rPr>
        <w:t xml:space="preserve">nic.  </w:t>
      </w:r>
      <w:r w:rsidR="00093F60" w:rsidRPr="00093F60">
        <w:rPr>
          <w:rFonts w:ascii="Times New Roman" w:eastAsia="Calibri" w:hAnsi="Times New Roman" w:cs="Times New Roman"/>
          <w:b/>
          <w:sz w:val="24"/>
          <w:szCs w:val="24"/>
        </w:rPr>
        <w:t>CASE DESCRIPTION:</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 xml:space="preserve">The patient, MR, is a </w:t>
      </w:r>
      <w:r w:rsidR="003D28BF">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 xml:space="preserve">44-year-old male without </w:t>
      </w:r>
      <w:r w:rsidR="003D28BF">
        <w:rPr>
          <w:rFonts w:ascii="Times New Roman" w:eastAsia="Calibri" w:hAnsi="Times New Roman" w:cs="Times New Roman"/>
          <w:sz w:val="24"/>
          <w:szCs w:val="24"/>
        </w:rPr>
        <w:t xml:space="preserve">a </w:t>
      </w:r>
      <w:r w:rsidRPr="00A93D34">
        <w:rPr>
          <w:rFonts w:ascii="Times New Roman" w:eastAsia="Calibri" w:hAnsi="Times New Roman" w:cs="Times New Roman"/>
          <w:sz w:val="24"/>
          <w:szCs w:val="24"/>
        </w:rPr>
        <w:t>significant past medical history p</w:t>
      </w:r>
      <w:r w:rsidR="003D28BF">
        <w:rPr>
          <w:rFonts w:ascii="Times New Roman" w:eastAsia="Calibri" w:hAnsi="Times New Roman" w:cs="Times New Roman"/>
          <w:sz w:val="24"/>
          <w:szCs w:val="24"/>
        </w:rPr>
        <w:t xml:space="preserve">resenting to physical therapy two </w:t>
      </w:r>
      <w:r w:rsidRPr="00A93D34">
        <w:rPr>
          <w:rFonts w:ascii="Times New Roman" w:eastAsia="Calibri" w:hAnsi="Times New Roman" w:cs="Times New Roman"/>
          <w:sz w:val="24"/>
          <w:szCs w:val="24"/>
        </w:rPr>
        <w:t xml:space="preserve">weeks after sustaining a low back injury at work. </w:t>
      </w:r>
      <w:r w:rsidR="00093F60">
        <w:rPr>
          <w:rFonts w:ascii="Times New Roman" w:eastAsia="Calibri" w:hAnsi="Times New Roman" w:cs="Times New Roman"/>
          <w:sz w:val="24"/>
          <w:szCs w:val="24"/>
        </w:rPr>
        <w:t xml:space="preserve"> </w:t>
      </w:r>
      <w:r w:rsidR="003D28BF">
        <w:rPr>
          <w:rFonts w:ascii="Times New Roman" w:eastAsia="Calibri" w:hAnsi="Times New Roman" w:cs="Times New Roman"/>
          <w:sz w:val="24"/>
          <w:szCs w:val="24"/>
        </w:rPr>
        <w:t>MR had</w:t>
      </w:r>
      <w:r w:rsidRPr="00A93D34">
        <w:rPr>
          <w:rFonts w:ascii="Times New Roman" w:eastAsia="Calibri" w:hAnsi="Times New Roman" w:cs="Times New Roman"/>
          <w:sz w:val="24"/>
          <w:szCs w:val="24"/>
        </w:rPr>
        <w:t xml:space="preserve"> a physically intensive job at a large international airport.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 xml:space="preserve">Following the injury, MR reported severe LBP, </w:t>
      </w:r>
      <w:r w:rsidR="003D28BF">
        <w:rPr>
          <w:rFonts w:ascii="Times New Roman" w:eastAsia="Calibri" w:hAnsi="Times New Roman" w:cs="Times New Roman"/>
          <w:sz w:val="24"/>
          <w:szCs w:val="24"/>
        </w:rPr>
        <w:t xml:space="preserve">an </w:t>
      </w:r>
      <w:r w:rsidRPr="00A93D34">
        <w:rPr>
          <w:rFonts w:ascii="Times New Roman" w:eastAsia="Calibri" w:hAnsi="Times New Roman" w:cs="Times New Roman"/>
          <w:sz w:val="24"/>
          <w:szCs w:val="24"/>
        </w:rPr>
        <w:t xml:space="preserve">inability to continue working, and difficulty standing and walking.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At the time of initial evaluation, MR presented with severely limited lu</w:t>
      </w:r>
      <w:r w:rsidR="003D28BF">
        <w:rPr>
          <w:rFonts w:ascii="Times New Roman" w:eastAsia="Calibri" w:hAnsi="Times New Roman" w:cs="Times New Roman"/>
          <w:sz w:val="24"/>
          <w:szCs w:val="24"/>
        </w:rPr>
        <w:t xml:space="preserve">mbar AROM in all directions, </w:t>
      </w:r>
      <w:r w:rsidRPr="00A93D34">
        <w:rPr>
          <w:rFonts w:ascii="Times New Roman" w:eastAsia="Calibri" w:hAnsi="Times New Roman" w:cs="Times New Roman"/>
          <w:sz w:val="24"/>
          <w:szCs w:val="24"/>
        </w:rPr>
        <w:t>especially flexion (limited 75%)</w:t>
      </w:r>
      <w:r w:rsidR="003D28BF">
        <w:rPr>
          <w:rFonts w:ascii="Times New Roman" w:eastAsia="Calibri" w:hAnsi="Times New Roman" w:cs="Times New Roman"/>
          <w:sz w:val="24"/>
          <w:szCs w:val="24"/>
        </w:rPr>
        <w:t>,</w:t>
      </w:r>
      <w:r w:rsidRPr="00A93D34">
        <w:rPr>
          <w:rFonts w:ascii="Times New Roman" w:eastAsia="Calibri" w:hAnsi="Times New Roman" w:cs="Times New Roman"/>
          <w:sz w:val="24"/>
          <w:szCs w:val="24"/>
        </w:rPr>
        <w:t xml:space="preserve"> as measured by goniometry.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 xml:space="preserve">Lumbar alignment assessed by palpation of bilateral transverse processes during lumbar flexion and extension revealed a lumbar flexion restriction with L4-L5 and L5-S1 segments stuck in extension and side-bending right (ERS right).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Additionally,</w:t>
      </w:r>
      <w:r w:rsidR="003D28BF">
        <w:rPr>
          <w:rFonts w:ascii="Times New Roman" w:eastAsia="Calibri" w:hAnsi="Times New Roman" w:cs="Times New Roman"/>
          <w:sz w:val="24"/>
          <w:szCs w:val="24"/>
        </w:rPr>
        <w:t xml:space="preserve"> an</w:t>
      </w:r>
      <w:r w:rsidRPr="00A93D34">
        <w:rPr>
          <w:rFonts w:ascii="Times New Roman" w:eastAsia="Calibri" w:hAnsi="Times New Roman" w:cs="Times New Roman"/>
          <w:sz w:val="24"/>
          <w:szCs w:val="24"/>
        </w:rPr>
        <w:t xml:space="preserve"> assessment of pelvic girdle dysfunction with </w:t>
      </w:r>
      <w:r w:rsidR="003D28BF">
        <w:rPr>
          <w:rFonts w:ascii="Times New Roman" w:eastAsia="Calibri" w:hAnsi="Times New Roman" w:cs="Times New Roman"/>
          <w:sz w:val="24"/>
          <w:szCs w:val="24"/>
        </w:rPr>
        <w:t xml:space="preserve">the </w:t>
      </w:r>
      <w:r w:rsidRPr="00A93D34">
        <w:rPr>
          <w:rFonts w:ascii="Times New Roman" w:eastAsia="Calibri" w:hAnsi="Times New Roman" w:cs="Times New Roman"/>
          <w:sz w:val="24"/>
          <w:szCs w:val="24"/>
        </w:rPr>
        <w:t xml:space="preserve">seated forward flexion test and palpation of bony landmarks revealed a right anteriorly rotated innominate. </w:t>
      </w:r>
      <w:r w:rsidR="00093F60">
        <w:rPr>
          <w:rFonts w:ascii="Times New Roman" w:eastAsia="Calibri" w:hAnsi="Times New Roman" w:cs="Times New Roman"/>
          <w:sz w:val="24"/>
          <w:szCs w:val="24"/>
        </w:rPr>
        <w:t xml:space="preserve"> </w:t>
      </w:r>
      <w:r w:rsidR="003D28BF">
        <w:rPr>
          <w:rFonts w:ascii="Times New Roman" w:eastAsia="Calibri" w:hAnsi="Times New Roman" w:cs="Times New Roman"/>
          <w:sz w:val="24"/>
          <w:szCs w:val="24"/>
        </w:rPr>
        <w:t>The i</w:t>
      </w:r>
      <w:r w:rsidRPr="00A93D34">
        <w:rPr>
          <w:rFonts w:ascii="Times New Roman" w:eastAsia="Calibri" w:hAnsi="Times New Roman" w:cs="Times New Roman"/>
          <w:sz w:val="24"/>
          <w:szCs w:val="24"/>
        </w:rPr>
        <w:t xml:space="preserve">nitial score on the Revised </w:t>
      </w:r>
      <w:proofErr w:type="spellStart"/>
      <w:r w:rsidRPr="00A93D34">
        <w:rPr>
          <w:rFonts w:ascii="Times New Roman" w:eastAsia="Calibri" w:hAnsi="Times New Roman" w:cs="Times New Roman"/>
          <w:sz w:val="24"/>
          <w:szCs w:val="24"/>
        </w:rPr>
        <w:t>Oswestry</w:t>
      </w:r>
      <w:proofErr w:type="spellEnd"/>
      <w:r w:rsidRPr="00A93D34">
        <w:rPr>
          <w:rFonts w:ascii="Times New Roman" w:eastAsia="Calibri" w:hAnsi="Times New Roman" w:cs="Times New Roman"/>
          <w:sz w:val="24"/>
          <w:szCs w:val="24"/>
        </w:rPr>
        <w:t xml:space="preserve"> Disability Index (ODI) indicated 50% impairment</w:t>
      </w:r>
      <w:r w:rsidR="003D28BF">
        <w:rPr>
          <w:rFonts w:ascii="Times New Roman" w:eastAsia="Calibri" w:hAnsi="Times New Roman" w:cs="Times New Roman"/>
          <w:sz w:val="24"/>
          <w:szCs w:val="24"/>
        </w:rPr>
        <w:t>,</w:t>
      </w:r>
      <w:r w:rsidRPr="00A93D34">
        <w:rPr>
          <w:rFonts w:ascii="Times New Roman" w:eastAsia="Calibri" w:hAnsi="Times New Roman" w:cs="Times New Roman"/>
          <w:sz w:val="24"/>
          <w:szCs w:val="24"/>
        </w:rPr>
        <w:t xml:space="preserve"> and </w:t>
      </w:r>
      <w:r w:rsidR="003D28BF">
        <w:rPr>
          <w:rFonts w:ascii="Times New Roman" w:eastAsia="Calibri" w:hAnsi="Times New Roman" w:cs="Times New Roman"/>
          <w:sz w:val="24"/>
          <w:szCs w:val="24"/>
        </w:rPr>
        <w:t xml:space="preserve">the </w:t>
      </w:r>
      <w:r w:rsidRPr="00A93D34">
        <w:rPr>
          <w:rFonts w:ascii="Times New Roman" w:eastAsia="Calibri" w:hAnsi="Times New Roman" w:cs="Times New Roman"/>
          <w:sz w:val="24"/>
          <w:szCs w:val="24"/>
        </w:rPr>
        <w:t>Fear Avoidance Belief Questionn</w:t>
      </w:r>
      <w:r w:rsidR="003D28BF">
        <w:rPr>
          <w:rFonts w:ascii="Times New Roman" w:eastAsia="Calibri" w:hAnsi="Times New Roman" w:cs="Times New Roman"/>
          <w:sz w:val="24"/>
          <w:szCs w:val="24"/>
        </w:rPr>
        <w:t>aire work subscale score (FABQW) completed retrospectively</w:t>
      </w:r>
      <w:r w:rsidRPr="00A93D34">
        <w:rPr>
          <w:rFonts w:ascii="Times New Roman" w:eastAsia="Calibri" w:hAnsi="Times New Roman" w:cs="Times New Roman"/>
          <w:sz w:val="24"/>
          <w:szCs w:val="24"/>
        </w:rPr>
        <w:t xml:space="preserve"> was 42 points indicating high levels of fea</w:t>
      </w:r>
      <w:r w:rsidR="00093F60">
        <w:rPr>
          <w:rFonts w:ascii="Times New Roman" w:eastAsia="Calibri" w:hAnsi="Times New Roman" w:cs="Times New Roman"/>
          <w:sz w:val="24"/>
          <w:szCs w:val="24"/>
        </w:rPr>
        <w:t xml:space="preserve">r and pain-avoidance behavior.  </w:t>
      </w:r>
      <w:r w:rsidR="003D28BF">
        <w:rPr>
          <w:rFonts w:ascii="Times New Roman" w:eastAsia="Calibri" w:hAnsi="Times New Roman" w:cs="Times New Roman"/>
          <w:sz w:val="24"/>
          <w:szCs w:val="24"/>
        </w:rPr>
        <w:t>Treatment was provided over</w:t>
      </w:r>
      <w:r w:rsidRPr="00A93D34">
        <w:rPr>
          <w:rFonts w:ascii="Times New Roman" w:eastAsia="Calibri" w:hAnsi="Times New Roman" w:cs="Times New Roman"/>
          <w:sz w:val="24"/>
          <w:szCs w:val="24"/>
        </w:rPr>
        <w:t xml:space="preserve"> 2.</w:t>
      </w:r>
      <w:r w:rsidR="003D28BF">
        <w:rPr>
          <w:rFonts w:ascii="Times New Roman" w:eastAsia="Calibri" w:hAnsi="Times New Roman" w:cs="Times New Roman"/>
          <w:sz w:val="24"/>
          <w:szCs w:val="24"/>
        </w:rPr>
        <w:t xml:space="preserve">5 weeks for 5 therapy sessions </w:t>
      </w:r>
      <w:r w:rsidRPr="00A93D34">
        <w:rPr>
          <w:rFonts w:ascii="Times New Roman" w:eastAsia="Calibri" w:hAnsi="Times New Roman" w:cs="Times New Roman"/>
          <w:sz w:val="24"/>
          <w:szCs w:val="24"/>
        </w:rPr>
        <w:t>and included lumbar MET, pelvic MET, myofascial release (MFR), and therapeutic exercise targeted toward self-correction</w:t>
      </w:r>
      <w:r w:rsidR="003D28BF">
        <w:rPr>
          <w:rFonts w:ascii="Times New Roman" w:eastAsia="Calibri" w:hAnsi="Times New Roman" w:cs="Times New Roman"/>
          <w:sz w:val="24"/>
          <w:szCs w:val="24"/>
        </w:rPr>
        <w:t xml:space="preserve"> of lumbar and pelvic alignment</w:t>
      </w:r>
      <w:r w:rsidRPr="00A93D34">
        <w:rPr>
          <w:rFonts w:ascii="Times New Roman" w:eastAsia="Calibri" w:hAnsi="Times New Roman" w:cs="Times New Roman"/>
          <w:sz w:val="24"/>
          <w:szCs w:val="24"/>
        </w:rPr>
        <w:t xml:space="preserve"> and strengthening core musculature to increase lumbar stability.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Lumbar and pelvic MET were performed while seated or supine respectively with three repetitions of 6-second isometric contractions in a controlled direction against a counter-f</w:t>
      </w:r>
      <w:r w:rsidR="003D28BF">
        <w:rPr>
          <w:rFonts w:ascii="Times New Roman" w:eastAsia="Calibri" w:hAnsi="Times New Roman" w:cs="Times New Roman"/>
          <w:sz w:val="24"/>
          <w:szCs w:val="24"/>
        </w:rPr>
        <w:t xml:space="preserve">orce supplied by the therapist </w:t>
      </w:r>
      <w:r w:rsidRPr="00A93D34">
        <w:rPr>
          <w:rFonts w:ascii="Times New Roman" w:eastAsia="Calibri" w:hAnsi="Times New Roman" w:cs="Times New Roman"/>
          <w:sz w:val="24"/>
          <w:szCs w:val="24"/>
        </w:rPr>
        <w:t xml:space="preserve">followed by intervals of assisted stretching into </w:t>
      </w:r>
      <w:r w:rsidR="003D28BF">
        <w:rPr>
          <w:rFonts w:ascii="Times New Roman" w:eastAsia="Calibri" w:hAnsi="Times New Roman" w:cs="Times New Roman"/>
          <w:sz w:val="24"/>
          <w:szCs w:val="24"/>
        </w:rPr>
        <w:t xml:space="preserve">the </w:t>
      </w:r>
      <w:r w:rsidRPr="00A93D34">
        <w:rPr>
          <w:rFonts w:ascii="Times New Roman" w:eastAsia="Calibri" w:hAnsi="Times New Roman" w:cs="Times New Roman"/>
          <w:sz w:val="24"/>
          <w:szCs w:val="24"/>
        </w:rPr>
        <w:t xml:space="preserve">new range of motion. </w:t>
      </w:r>
      <w:r w:rsidR="00093F60">
        <w:rPr>
          <w:rFonts w:ascii="Times New Roman" w:eastAsia="Calibri" w:hAnsi="Times New Roman" w:cs="Times New Roman"/>
          <w:sz w:val="24"/>
          <w:szCs w:val="24"/>
        </w:rPr>
        <w:t xml:space="preserve"> </w:t>
      </w:r>
      <w:r w:rsidRPr="00093F60">
        <w:rPr>
          <w:rFonts w:ascii="Times New Roman" w:eastAsia="Calibri" w:hAnsi="Times New Roman" w:cs="Times New Roman"/>
          <w:b/>
          <w:sz w:val="24"/>
          <w:szCs w:val="24"/>
        </w:rPr>
        <w:t>OUTCOMES:</w:t>
      </w:r>
      <w:r w:rsidRPr="00A93D34">
        <w:rPr>
          <w:rFonts w:ascii="Times New Roman" w:eastAsia="Calibri" w:hAnsi="Times New Roman" w:cs="Times New Roman"/>
          <w:sz w:val="24"/>
          <w:szCs w:val="24"/>
        </w:rPr>
        <w:t xml:space="preserve"> The patient responded very well to all treatments provided.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 xml:space="preserve">By the second session, the patient reported reduced pain to 1/10 on </w:t>
      </w:r>
      <w:r w:rsidR="003D28BF">
        <w:rPr>
          <w:rFonts w:ascii="Times New Roman" w:eastAsia="Calibri" w:hAnsi="Times New Roman" w:cs="Times New Roman"/>
          <w:sz w:val="24"/>
          <w:szCs w:val="24"/>
        </w:rPr>
        <w:t xml:space="preserve">the </w:t>
      </w:r>
      <w:r w:rsidRPr="00A93D34">
        <w:rPr>
          <w:rFonts w:ascii="Times New Roman" w:eastAsia="Calibri" w:hAnsi="Times New Roman" w:cs="Times New Roman"/>
          <w:sz w:val="24"/>
          <w:szCs w:val="24"/>
        </w:rPr>
        <w:t xml:space="preserve">verbal analog scale (VAS).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 xml:space="preserve">By the fourth session, the patient had lumbar AROM within normal limits.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 xml:space="preserve">By the last session, the patient had returned to work and stated having made 100% progress towards improvement. </w:t>
      </w:r>
      <w:r w:rsidR="00093F60">
        <w:rPr>
          <w:rFonts w:ascii="Times New Roman" w:eastAsia="Calibri" w:hAnsi="Times New Roman" w:cs="Times New Roman"/>
          <w:sz w:val="24"/>
          <w:szCs w:val="24"/>
        </w:rPr>
        <w:t xml:space="preserve"> </w:t>
      </w:r>
      <w:r w:rsidR="003D28BF">
        <w:rPr>
          <w:rFonts w:ascii="Times New Roman" w:eastAsia="Calibri" w:hAnsi="Times New Roman" w:cs="Times New Roman"/>
          <w:sz w:val="24"/>
          <w:szCs w:val="24"/>
        </w:rPr>
        <w:t>The r</w:t>
      </w:r>
      <w:r w:rsidRPr="00A93D34">
        <w:rPr>
          <w:rFonts w:ascii="Times New Roman" w:eastAsia="Calibri" w:hAnsi="Times New Roman" w:cs="Times New Roman"/>
          <w:sz w:val="24"/>
          <w:szCs w:val="24"/>
        </w:rPr>
        <w:t>evised O</w:t>
      </w:r>
      <w:r w:rsidR="003D28BF">
        <w:rPr>
          <w:rFonts w:ascii="Times New Roman" w:eastAsia="Calibri" w:hAnsi="Times New Roman" w:cs="Times New Roman"/>
          <w:sz w:val="24"/>
          <w:szCs w:val="24"/>
        </w:rPr>
        <w:t>DI improved from 50% to 0%, and the</w:t>
      </w:r>
      <w:r w:rsidRPr="00A93D34">
        <w:rPr>
          <w:rFonts w:ascii="Times New Roman" w:eastAsia="Calibri" w:hAnsi="Times New Roman" w:cs="Times New Roman"/>
          <w:sz w:val="24"/>
          <w:szCs w:val="24"/>
        </w:rPr>
        <w:t xml:space="preserve"> FABQW improved from 42/42 to 11/42 at discharge.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These measures reveal</w:t>
      </w:r>
      <w:r w:rsidR="003D28BF">
        <w:rPr>
          <w:rFonts w:ascii="Times New Roman" w:eastAsia="Calibri" w:hAnsi="Times New Roman" w:cs="Times New Roman"/>
          <w:sz w:val="24"/>
          <w:szCs w:val="24"/>
        </w:rPr>
        <w:t>ed</w:t>
      </w:r>
      <w:r w:rsidRPr="00A93D34">
        <w:rPr>
          <w:rFonts w:ascii="Times New Roman" w:eastAsia="Calibri" w:hAnsi="Times New Roman" w:cs="Times New Roman"/>
          <w:sz w:val="24"/>
          <w:szCs w:val="24"/>
        </w:rPr>
        <w:t xml:space="preserve"> greatly reduced self-perceived disability, fear, and pain-avoidance behavior. </w:t>
      </w:r>
      <w:r w:rsidR="00093F60">
        <w:rPr>
          <w:rFonts w:ascii="Times New Roman" w:eastAsia="Calibri" w:hAnsi="Times New Roman" w:cs="Times New Roman"/>
          <w:sz w:val="24"/>
          <w:szCs w:val="24"/>
        </w:rPr>
        <w:t xml:space="preserve"> </w:t>
      </w:r>
      <w:r w:rsidRPr="00093F60">
        <w:rPr>
          <w:rFonts w:ascii="Times New Roman" w:eastAsia="Calibri" w:hAnsi="Times New Roman" w:cs="Times New Roman"/>
          <w:b/>
          <w:sz w:val="24"/>
          <w:szCs w:val="24"/>
        </w:rPr>
        <w:t>DISCUSSION:</w:t>
      </w:r>
      <w:r w:rsidRPr="00A93D34">
        <w:rPr>
          <w:rFonts w:ascii="Times New Roman" w:eastAsia="Calibri" w:hAnsi="Times New Roman" w:cs="Times New Roman"/>
          <w:sz w:val="24"/>
          <w:szCs w:val="24"/>
        </w:rPr>
        <w:t xml:space="preserve"> The results of this case suggest that MET may provide therapeutic benefit to patients with acute LBP. </w:t>
      </w:r>
      <w:r w:rsidR="00093F60">
        <w:rPr>
          <w:rFonts w:ascii="Times New Roman" w:eastAsia="Calibri" w:hAnsi="Times New Roman" w:cs="Times New Roman"/>
          <w:sz w:val="24"/>
          <w:szCs w:val="24"/>
        </w:rPr>
        <w:t xml:space="preserve"> </w:t>
      </w:r>
      <w:r w:rsidRPr="00A93D34">
        <w:rPr>
          <w:rFonts w:ascii="Times New Roman" w:eastAsia="Calibri" w:hAnsi="Times New Roman" w:cs="Times New Roman"/>
          <w:sz w:val="24"/>
          <w:szCs w:val="24"/>
        </w:rPr>
        <w:t>MR derived significant benefit with the application of only a few applications of MET to the lumbar spine and pelvis, building support for the efficiency of this technique in managing LBP.</w:t>
      </w:r>
    </w:p>
    <w:p w:rsidR="00DC4A9B" w:rsidRDefault="00DC4A9B" w:rsidP="00DC4A9B">
      <w:pPr>
        <w:spacing w:after="0" w:line="240" w:lineRule="auto"/>
        <w:rPr>
          <w:rFonts w:ascii="Times New Roman" w:eastAsia="Calibri" w:hAnsi="Times New Roman" w:cs="Times New Roman"/>
          <w:sz w:val="24"/>
          <w:szCs w:val="24"/>
        </w:rPr>
      </w:pPr>
      <w:r w:rsidRPr="00DC4A9B">
        <w:rPr>
          <w:rFonts w:ascii="Times New Roman" w:eastAsia="Calibri" w:hAnsi="Times New Roman" w:cs="Times New Roman"/>
          <w:b/>
          <w:sz w:val="24"/>
          <w:szCs w:val="24"/>
        </w:rPr>
        <w:lastRenderedPageBreak/>
        <w:t>MEASURING RHOMBOID MUSCLE THICKNESS IN CLUB AND INTERCOLLEGIATE OVERHEAD ATHLETES USING REHABILITATIVE ULTRASOUND IMAGING.</w:t>
      </w:r>
      <w:r w:rsidRPr="00DC4A9B">
        <w:rPr>
          <w:rFonts w:ascii="Times New Roman" w:eastAsia="Calibri" w:hAnsi="Times New Roman" w:cs="Times New Roman"/>
          <w:sz w:val="24"/>
          <w:szCs w:val="24"/>
        </w:rPr>
        <w:t xml:space="preserve"> Lund J, Romstadt K, Roper S, Lomonaco-Harig M; Grand Valley State University, Grand Rapids, MI. </w:t>
      </w:r>
    </w:p>
    <w:p w:rsidR="00DC4A9B" w:rsidRPr="00DC4A9B" w:rsidRDefault="00DC4A9B" w:rsidP="00DC4A9B">
      <w:pPr>
        <w:spacing w:after="0" w:line="240" w:lineRule="auto"/>
        <w:rPr>
          <w:rFonts w:ascii="Times New Roman" w:eastAsia="Calibri" w:hAnsi="Times New Roman" w:cs="Times New Roman"/>
          <w:sz w:val="24"/>
          <w:szCs w:val="24"/>
        </w:rPr>
      </w:pPr>
    </w:p>
    <w:p w:rsidR="00DC4A9B" w:rsidRPr="00DC4A9B" w:rsidRDefault="00DC4A9B" w:rsidP="00DC4A9B">
      <w:pPr>
        <w:spacing w:after="0" w:line="240" w:lineRule="auto"/>
        <w:rPr>
          <w:rFonts w:ascii="Times New Roman" w:eastAsia="Calibri" w:hAnsi="Times New Roman" w:cs="Times New Roman"/>
          <w:sz w:val="24"/>
          <w:szCs w:val="24"/>
        </w:rPr>
      </w:pPr>
      <w:r w:rsidRPr="00DC4A9B">
        <w:rPr>
          <w:rFonts w:ascii="Times New Roman" w:eastAsia="Calibri" w:hAnsi="Times New Roman" w:cs="Times New Roman"/>
          <w:b/>
          <w:sz w:val="24"/>
          <w:szCs w:val="24"/>
        </w:rPr>
        <w:t>INTRODUCTION:</w:t>
      </w:r>
      <w:r w:rsidRPr="00DC4A9B">
        <w:rPr>
          <w:rFonts w:ascii="Times New Roman" w:eastAsia="Calibri" w:hAnsi="Times New Roman" w:cs="Times New Roman"/>
          <w:sz w:val="24"/>
          <w:szCs w:val="24"/>
        </w:rPr>
        <w:t xml:space="preserve"> Rhomboid muscle tears can be a debilitating injury and prevent future sport participation in the overhead athlete. </w:t>
      </w:r>
      <w:r>
        <w:rPr>
          <w:rFonts w:ascii="Times New Roman" w:eastAsia="Calibri" w:hAnsi="Times New Roman" w:cs="Times New Roman"/>
          <w:sz w:val="24"/>
          <w:szCs w:val="24"/>
        </w:rPr>
        <w:t xml:space="preserve"> </w:t>
      </w:r>
      <w:r w:rsidRPr="00DC4A9B">
        <w:rPr>
          <w:rFonts w:ascii="Times New Roman" w:eastAsia="Calibri" w:hAnsi="Times New Roman" w:cs="Times New Roman"/>
          <w:sz w:val="24"/>
          <w:szCs w:val="24"/>
        </w:rPr>
        <w:t xml:space="preserve">These tears are underdiagnosed due to the lack of sensitivity of imaging such as CT and MRI to confirm rhomboid muscle tears. </w:t>
      </w:r>
      <w:r>
        <w:rPr>
          <w:rFonts w:ascii="Times New Roman" w:eastAsia="Calibri" w:hAnsi="Times New Roman" w:cs="Times New Roman"/>
          <w:sz w:val="24"/>
          <w:szCs w:val="24"/>
        </w:rPr>
        <w:t xml:space="preserve"> </w:t>
      </w:r>
      <w:r w:rsidRPr="00DC4A9B">
        <w:rPr>
          <w:rFonts w:ascii="Times New Roman" w:eastAsia="Calibri" w:hAnsi="Times New Roman" w:cs="Times New Roman"/>
          <w:sz w:val="24"/>
          <w:szCs w:val="24"/>
        </w:rPr>
        <w:t xml:space="preserve">Rehabilitative ultrasound imaging (RUSI) has </w:t>
      </w:r>
      <w:r w:rsidR="00FB40B4">
        <w:rPr>
          <w:rFonts w:ascii="Times New Roman" w:eastAsia="Calibri" w:hAnsi="Times New Roman" w:cs="Times New Roman"/>
          <w:sz w:val="24"/>
          <w:szCs w:val="24"/>
        </w:rPr>
        <w:t xml:space="preserve">the </w:t>
      </w:r>
      <w:r w:rsidRPr="00DC4A9B">
        <w:rPr>
          <w:rFonts w:ascii="Times New Roman" w:eastAsia="Calibri" w:hAnsi="Times New Roman" w:cs="Times New Roman"/>
          <w:sz w:val="24"/>
          <w:szCs w:val="24"/>
        </w:rPr>
        <w:t xml:space="preserve">potential to image the rhomboids at the medial scapular border where it is susceptible to muscle </w:t>
      </w:r>
      <w:r>
        <w:rPr>
          <w:rFonts w:ascii="Times New Roman" w:eastAsia="Calibri" w:hAnsi="Times New Roman" w:cs="Times New Roman"/>
          <w:sz w:val="24"/>
          <w:szCs w:val="24"/>
        </w:rPr>
        <w:t xml:space="preserve">tear and detachment.  </w:t>
      </w:r>
      <w:r w:rsidRPr="00DC4A9B">
        <w:rPr>
          <w:rFonts w:ascii="Times New Roman" w:eastAsia="Calibri" w:hAnsi="Times New Roman" w:cs="Times New Roman"/>
          <w:sz w:val="24"/>
          <w:szCs w:val="24"/>
        </w:rPr>
        <w:t>The purposes of this study were to:</w:t>
      </w:r>
      <w:r>
        <w:rPr>
          <w:rFonts w:ascii="Times New Roman" w:eastAsia="Calibri" w:hAnsi="Times New Roman" w:cs="Times New Roman"/>
          <w:sz w:val="24"/>
          <w:szCs w:val="24"/>
        </w:rPr>
        <w:t xml:space="preserve">       </w:t>
      </w:r>
      <w:r w:rsidRPr="00DC4A9B">
        <w:rPr>
          <w:rFonts w:ascii="Times New Roman" w:eastAsia="Calibri" w:hAnsi="Times New Roman" w:cs="Times New Roman"/>
          <w:sz w:val="24"/>
          <w:szCs w:val="24"/>
        </w:rPr>
        <w:t xml:space="preserve"> (1) determine </w:t>
      </w:r>
      <w:r w:rsidR="00FB40B4">
        <w:rPr>
          <w:rFonts w:ascii="Times New Roman" w:eastAsia="Calibri" w:hAnsi="Times New Roman" w:cs="Times New Roman"/>
          <w:sz w:val="24"/>
          <w:szCs w:val="24"/>
        </w:rPr>
        <w:t xml:space="preserve">the </w:t>
      </w:r>
      <w:r w:rsidRPr="00DC4A9B">
        <w:rPr>
          <w:rFonts w:ascii="Times New Roman" w:eastAsia="Calibri" w:hAnsi="Times New Roman" w:cs="Times New Roman"/>
          <w:sz w:val="24"/>
          <w:szCs w:val="24"/>
        </w:rPr>
        <w:t xml:space="preserve">validity and reliability of RUSI for measuring rhomboid muscle thickness at the medial scapular border; (2) compare rhomboid muscle thickness between asymptomatic overhead athletes and adults; </w:t>
      </w:r>
      <w:r w:rsidR="00FB40B4">
        <w:rPr>
          <w:rFonts w:ascii="Times New Roman" w:eastAsia="Calibri" w:hAnsi="Times New Roman" w:cs="Times New Roman"/>
          <w:sz w:val="24"/>
          <w:szCs w:val="24"/>
        </w:rPr>
        <w:t xml:space="preserve">and </w:t>
      </w:r>
      <w:r w:rsidRPr="00DC4A9B">
        <w:rPr>
          <w:rFonts w:ascii="Times New Roman" w:eastAsia="Calibri" w:hAnsi="Times New Roman" w:cs="Times New Roman"/>
          <w:sz w:val="24"/>
          <w:szCs w:val="24"/>
        </w:rPr>
        <w:t xml:space="preserve">(3) determine if a relationship exists between rhomboid muscle thickness and BMI, gender, age, or hand dominance. </w:t>
      </w:r>
      <w:r>
        <w:rPr>
          <w:rFonts w:ascii="Times New Roman" w:eastAsia="Calibri" w:hAnsi="Times New Roman" w:cs="Times New Roman"/>
          <w:sz w:val="24"/>
          <w:szCs w:val="24"/>
        </w:rPr>
        <w:t xml:space="preserve"> </w:t>
      </w:r>
      <w:r w:rsidRPr="00DC4A9B">
        <w:rPr>
          <w:rFonts w:ascii="Times New Roman" w:eastAsia="Calibri" w:hAnsi="Times New Roman" w:cs="Times New Roman"/>
          <w:b/>
          <w:sz w:val="24"/>
          <w:szCs w:val="24"/>
        </w:rPr>
        <w:t>METHODS:</w:t>
      </w:r>
      <w:r w:rsidR="00FB40B4">
        <w:rPr>
          <w:rFonts w:ascii="Times New Roman" w:eastAsia="Calibri" w:hAnsi="Times New Roman" w:cs="Times New Roman"/>
          <w:sz w:val="24"/>
          <w:szCs w:val="24"/>
        </w:rPr>
        <w:t xml:space="preserve"> This study was</w:t>
      </w:r>
      <w:r w:rsidRPr="00DC4A9B">
        <w:rPr>
          <w:rFonts w:ascii="Times New Roman" w:eastAsia="Calibri" w:hAnsi="Times New Roman" w:cs="Times New Roman"/>
          <w:sz w:val="24"/>
          <w:szCs w:val="24"/>
        </w:rPr>
        <w:t xml:space="preserve"> a quantitative data collection on a convenience sample of overhead athletes. </w:t>
      </w:r>
      <w:r>
        <w:rPr>
          <w:rFonts w:ascii="Times New Roman" w:eastAsia="Calibri" w:hAnsi="Times New Roman" w:cs="Times New Roman"/>
          <w:sz w:val="24"/>
          <w:szCs w:val="24"/>
        </w:rPr>
        <w:t xml:space="preserve"> </w:t>
      </w:r>
      <w:r w:rsidRPr="00DC4A9B">
        <w:rPr>
          <w:rFonts w:ascii="Times New Roman" w:eastAsia="Calibri" w:hAnsi="Times New Roman" w:cs="Times New Roman"/>
          <w:sz w:val="24"/>
          <w:szCs w:val="24"/>
        </w:rPr>
        <w:t>Bilateral resting rhomboid muscle thickness at the medial scapular border was measured in 13 overhead club and intercollegiate athletes (7 female</w:t>
      </w:r>
      <w:r w:rsidR="00FB40B4">
        <w:rPr>
          <w:rFonts w:ascii="Times New Roman" w:eastAsia="Calibri" w:hAnsi="Times New Roman" w:cs="Times New Roman"/>
          <w:sz w:val="24"/>
          <w:szCs w:val="24"/>
        </w:rPr>
        <w:t>s</w:t>
      </w:r>
      <w:r w:rsidRPr="00DC4A9B">
        <w:rPr>
          <w:rFonts w:ascii="Times New Roman" w:eastAsia="Calibri" w:hAnsi="Times New Roman" w:cs="Times New Roman"/>
          <w:sz w:val="24"/>
          <w:szCs w:val="24"/>
        </w:rPr>
        <w:t>, 6 male</w:t>
      </w:r>
      <w:r w:rsidR="00FB40B4">
        <w:rPr>
          <w:rFonts w:ascii="Times New Roman" w:eastAsia="Calibri" w:hAnsi="Times New Roman" w:cs="Times New Roman"/>
          <w:sz w:val="24"/>
          <w:szCs w:val="24"/>
        </w:rPr>
        <w:t>s</w:t>
      </w:r>
      <w:r w:rsidRPr="00DC4A9B">
        <w:rPr>
          <w:rFonts w:ascii="Times New Roman" w:eastAsia="Calibri" w:hAnsi="Times New Roman" w:cs="Times New Roman"/>
          <w:sz w:val="24"/>
          <w:szCs w:val="24"/>
        </w:rPr>
        <w:t>; age</w:t>
      </w:r>
      <w:r w:rsidR="00FB40B4">
        <w:rPr>
          <w:rFonts w:ascii="Times New Roman" w:eastAsia="Calibri" w:hAnsi="Times New Roman" w:cs="Times New Roman"/>
          <w:sz w:val="24"/>
          <w:szCs w:val="24"/>
        </w:rPr>
        <w:t>s</w:t>
      </w:r>
      <w:r w:rsidRPr="00DC4A9B">
        <w:rPr>
          <w:rFonts w:ascii="Times New Roman" w:eastAsia="Calibri" w:hAnsi="Times New Roman" w:cs="Times New Roman"/>
          <w:sz w:val="24"/>
          <w:szCs w:val="24"/>
        </w:rPr>
        <w:t xml:space="preserve"> 18-21 years; mean height </w:t>
      </w:r>
      <w:r w:rsidR="00FB40B4">
        <w:rPr>
          <w:rFonts w:ascii="Times New Roman" w:eastAsia="Calibri" w:hAnsi="Times New Roman" w:cs="Times New Roman"/>
          <w:sz w:val="24"/>
          <w:szCs w:val="24"/>
        </w:rPr>
        <w:t xml:space="preserve">of </w:t>
      </w:r>
      <w:r w:rsidRPr="00DC4A9B">
        <w:rPr>
          <w:rFonts w:ascii="Times New Roman" w:eastAsia="Calibri" w:hAnsi="Times New Roman" w:cs="Times New Roman"/>
          <w:sz w:val="24"/>
          <w:szCs w:val="24"/>
        </w:rPr>
        <w:t>69.87 ± 3.83 inches; mean weight</w:t>
      </w:r>
      <w:r w:rsidR="00FB40B4">
        <w:rPr>
          <w:rFonts w:ascii="Times New Roman" w:eastAsia="Calibri" w:hAnsi="Times New Roman" w:cs="Times New Roman"/>
          <w:sz w:val="24"/>
          <w:szCs w:val="24"/>
        </w:rPr>
        <w:t xml:space="preserve"> of 164.4 </w:t>
      </w:r>
      <w:r w:rsidRPr="00DC4A9B">
        <w:rPr>
          <w:rFonts w:ascii="Times New Roman" w:eastAsia="Calibri" w:hAnsi="Times New Roman" w:cs="Times New Roman"/>
          <w:sz w:val="24"/>
          <w:szCs w:val="24"/>
        </w:rPr>
        <w:t xml:space="preserve">± 29.18 pounds). </w:t>
      </w:r>
      <w:r>
        <w:rPr>
          <w:rFonts w:ascii="Times New Roman" w:eastAsia="Calibri" w:hAnsi="Times New Roman" w:cs="Times New Roman"/>
          <w:sz w:val="24"/>
          <w:szCs w:val="24"/>
        </w:rPr>
        <w:t xml:space="preserve"> </w:t>
      </w:r>
      <w:r w:rsidRPr="00DC4A9B">
        <w:rPr>
          <w:rFonts w:ascii="Times New Roman" w:eastAsia="Calibri" w:hAnsi="Times New Roman" w:cs="Times New Roman"/>
          <w:sz w:val="24"/>
          <w:szCs w:val="24"/>
        </w:rPr>
        <w:t xml:space="preserve">Measurements </w:t>
      </w:r>
      <w:r w:rsidR="00FB40B4">
        <w:rPr>
          <w:rFonts w:ascii="Times New Roman" w:eastAsia="Calibri" w:hAnsi="Times New Roman" w:cs="Times New Roman"/>
          <w:sz w:val="24"/>
          <w:szCs w:val="24"/>
        </w:rPr>
        <w:t>were taken by three</w:t>
      </w:r>
      <w:r w:rsidRPr="00DC4A9B">
        <w:rPr>
          <w:rFonts w:ascii="Times New Roman" w:eastAsia="Calibri" w:hAnsi="Times New Roman" w:cs="Times New Roman"/>
          <w:sz w:val="24"/>
          <w:szCs w:val="24"/>
        </w:rPr>
        <w:t xml:space="preserve"> cli</w:t>
      </w:r>
      <w:r w:rsidR="00FB40B4">
        <w:rPr>
          <w:rFonts w:ascii="Times New Roman" w:eastAsia="Calibri" w:hAnsi="Times New Roman" w:cs="Times New Roman"/>
          <w:sz w:val="24"/>
          <w:szCs w:val="24"/>
        </w:rPr>
        <w:t>nicians with participants prone</w:t>
      </w:r>
      <w:r w:rsidRPr="00DC4A9B">
        <w:rPr>
          <w:rFonts w:ascii="Times New Roman" w:eastAsia="Calibri" w:hAnsi="Times New Roman" w:cs="Times New Roman"/>
          <w:sz w:val="24"/>
          <w:szCs w:val="24"/>
        </w:rPr>
        <w:t xml:space="preserve"> and shoulders abducted 80-90°. </w:t>
      </w:r>
      <w:r>
        <w:rPr>
          <w:rFonts w:ascii="Times New Roman" w:eastAsia="Calibri" w:hAnsi="Times New Roman" w:cs="Times New Roman"/>
          <w:sz w:val="24"/>
          <w:szCs w:val="24"/>
        </w:rPr>
        <w:t xml:space="preserve"> </w:t>
      </w:r>
      <w:r w:rsidRPr="00DC4A9B">
        <w:rPr>
          <w:rFonts w:ascii="Times New Roman" w:eastAsia="Calibri" w:hAnsi="Times New Roman" w:cs="Times New Roman"/>
          <w:sz w:val="24"/>
          <w:szCs w:val="24"/>
        </w:rPr>
        <w:t>Thickness was measured at the root of the</w:t>
      </w:r>
      <w:r w:rsidR="00FB40B4">
        <w:rPr>
          <w:rFonts w:ascii="Times New Roman" w:eastAsia="Calibri" w:hAnsi="Times New Roman" w:cs="Times New Roman"/>
          <w:sz w:val="24"/>
          <w:szCs w:val="24"/>
        </w:rPr>
        <w:t xml:space="preserve"> spine of the scapula (point A)</w:t>
      </w:r>
      <w:r w:rsidRPr="00DC4A9B">
        <w:rPr>
          <w:rFonts w:ascii="Times New Roman" w:eastAsia="Calibri" w:hAnsi="Times New Roman" w:cs="Times New Roman"/>
          <w:sz w:val="24"/>
          <w:szCs w:val="24"/>
        </w:rPr>
        <w:t xml:space="preserve"> and at the midpoint between the spine and the inferior angle (point B). </w:t>
      </w:r>
      <w:r>
        <w:rPr>
          <w:rFonts w:ascii="Times New Roman" w:eastAsia="Calibri" w:hAnsi="Times New Roman" w:cs="Times New Roman"/>
          <w:sz w:val="24"/>
          <w:szCs w:val="24"/>
        </w:rPr>
        <w:t xml:space="preserve"> </w:t>
      </w:r>
      <w:r w:rsidRPr="00DC4A9B">
        <w:rPr>
          <w:rFonts w:ascii="Times New Roman" w:eastAsia="Calibri" w:hAnsi="Times New Roman" w:cs="Times New Roman"/>
          <w:b/>
          <w:sz w:val="24"/>
          <w:szCs w:val="24"/>
        </w:rPr>
        <w:t>RESULTS:</w:t>
      </w:r>
      <w:r w:rsidRPr="00DC4A9B">
        <w:rPr>
          <w:rFonts w:ascii="Times New Roman" w:eastAsia="Calibri" w:hAnsi="Times New Roman" w:cs="Times New Roman"/>
          <w:sz w:val="24"/>
          <w:szCs w:val="24"/>
        </w:rPr>
        <w:t xml:space="preserve"> Interrater reliability ranged from </w:t>
      </w:r>
      <w:r w:rsidR="00FB40B4">
        <w:rPr>
          <w:rFonts w:ascii="Times New Roman" w:eastAsia="Calibri" w:hAnsi="Times New Roman" w:cs="Times New Roman"/>
          <w:sz w:val="24"/>
          <w:szCs w:val="24"/>
        </w:rPr>
        <w:t>poor-moderate (ICC=0.465-0.748)</w:t>
      </w:r>
      <w:r w:rsidRPr="00DC4A9B">
        <w:rPr>
          <w:rFonts w:ascii="Times New Roman" w:eastAsia="Calibri" w:hAnsi="Times New Roman" w:cs="Times New Roman"/>
          <w:sz w:val="24"/>
          <w:szCs w:val="24"/>
        </w:rPr>
        <w:t xml:space="preserve"> with highest values on the right medial scapular border for both genders. </w:t>
      </w:r>
      <w:r>
        <w:rPr>
          <w:rFonts w:ascii="Times New Roman" w:eastAsia="Calibri" w:hAnsi="Times New Roman" w:cs="Times New Roman"/>
          <w:sz w:val="24"/>
          <w:szCs w:val="24"/>
        </w:rPr>
        <w:t xml:space="preserve"> </w:t>
      </w:r>
      <w:r w:rsidRPr="00DC4A9B">
        <w:rPr>
          <w:rFonts w:ascii="Times New Roman" w:eastAsia="Calibri" w:hAnsi="Times New Roman" w:cs="Times New Roman"/>
          <w:sz w:val="24"/>
          <w:szCs w:val="24"/>
        </w:rPr>
        <w:t xml:space="preserve">Statistically significant differences were found in muscle thickness between genders on the left (p=0.001) and right (p=0.002). </w:t>
      </w:r>
      <w:r>
        <w:rPr>
          <w:rFonts w:ascii="Times New Roman" w:eastAsia="Calibri" w:hAnsi="Times New Roman" w:cs="Times New Roman"/>
          <w:sz w:val="24"/>
          <w:szCs w:val="24"/>
        </w:rPr>
        <w:t xml:space="preserve"> </w:t>
      </w:r>
      <w:r w:rsidRPr="00DC4A9B">
        <w:rPr>
          <w:rFonts w:ascii="Times New Roman" w:eastAsia="Calibri" w:hAnsi="Times New Roman" w:cs="Times New Roman"/>
          <w:sz w:val="24"/>
          <w:szCs w:val="24"/>
        </w:rPr>
        <w:t xml:space="preserve">Differences were found between athletic males and asymptomatic adults at point A with the non-dominant side being statistically significant (p=0.046). </w:t>
      </w:r>
      <w:r>
        <w:rPr>
          <w:rFonts w:ascii="Times New Roman" w:eastAsia="Calibri" w:hAnsi="Times New Roman" w:cs="Times New Roman"/>
          <w:sz w:val="24"/>
          <w:szCs w:val="24"/>
        </w:rPr>
        <w:t xml:space="preserve"> </w:t>
      </w:r>
      <w:r w:rsidRPr="00DC4A9B">
        <w:rPr>
          <w:rFonts w:ascii="Times New Roman" w:eastAsia="Calibri" w:hAnsi="Times New Roman" w:cs="Times New Roman"/>
          <w:b/>
          <w:sz w:val="24"/>
          <w:szCs w:val="24"/>
        </w:rPr>
        <w:t>DISCUSSION/CONCLUSIONS:</w:t>
      </w:r>
      <w:r w:rsidRPr="00DC4A9B">
        <w:rPr>
          <w:rFonts w:ascii="Times New Roman" w:eastAsia="Calibri" w:hAnsi="Times New Roman" w:cs="Times New Roman"/>
          <w:sz w:val="24"/>
          <w:szCs w:val="24"/>
        </w:rPr>
        <w:t xml:space="preserve"> RUSI can be utilized to image the rhomboids in overhead club and intercollegiate athletes with poor-moderate interrater reliability. </w:t>
      </w:r>
      <w:r>
        <w:rPr>
          <w:rFonts w:ascii="Times New Roman" w:eastAsia="Calibri" w:hAnsi="Times New Roman" w:cs="Times New Roman"/>
          <w:sz w:val="24"/>
          <w:szCs w:val="24"/>
        </w:rPr>
        <w:t xml:space="preserve"> </w:t>
      </w:r>
      <w:r w:rsidRPr="00DC4A9B">
        <w:rPr>
          <w:rFonts w:ascii="Times New Roman" w:eastAsia="Calibri" w:hAnsi="Times New Roman" w:cs="Times New Roman"/>
          <w:sz w:val="24"/>
          <w:szCs w:val="24"/>
        </w:rPr>
        <w:t>There are statistically significant, measurable muscle thickness differences between genders in overhead athlete</w:t>
      </w:r>
      <w:r w:rsidR="00FB40B4">
        <w:rPr>
          <w:rFonts w:ascii="Times New Roman" w:eastAsia="Calibri" w:hAnsi="Times New Roman" w:cs="Times New Roman"/>
          <w:sz w:val="24"/>
          <w:szCs w:val="24"/>
        </w:rPr>
        <w:t xml:space="preserve">s which were detected by RUSI.  </w:t>
      </w:r>
      <w:r w:rsidRPr="00DC4A9B">
        <w:rPr>
          <w:rFonts w:ascii="Times New Roman" w:eastAsia="Calibri" w:hAnsi="Times New Roman" w:cs="Times New Roman"/>
          <w:b/>
          <w:sz w:val="24"/>
          <w:szCs w:val="24"/>
        </w:rPr>
        <w:t>ACKNOWLEDGEMENTS:</w:t>
      </w:r>
      <w:r w:rsidRPr="00DC4A9B">
        <w:rPr>
          <w:rFonts w:ascii="Times New Roman" w:eastAsia="Calibri" w:hAnsi="Times New Roman" w:cs="Times New Roman"/>
          <w:sz w:val="24"/>
          <w:szCs w:val="24"/>
        </w:rPr>
        <w:t xml:space="preserve"> Thank you to our faculty mentor, Mary Lomonaco-Harig; our faculty collaborators, Jon Rose and Laurie Stickler; Sango Otieno and the GVSU Statistical Consulting Center; and the student club and intercollegiate athletes who volunteered their time to participate in our study.</w:t>
      </w:r>
    </w:p>
    <w:p w:rsidR="00DC4A9B" w:rsidRDefault="00DC4A9B" w:rsidP="006C28BB">
      <w:pPr>
        <w:spacing w:after="0" w:line="240" w:lineRule="auto"/>
        <w:rPr>
          <w:rFonts w:ascii="Times New Roman" w:eastAsia="Calibri" w:hAnsi="Times New Roman" w:cs="Times New Roman"/>
          <w:b/>
          <w:sz w:val="24"/>
          <w:szCs w:val="24"/>
        </w:rPr>
      </w:pPr>
    </w:p>
    <w:p w:rsidR="00DC4A9B" w:rsidRDefault="00DC4A9B" w:rsidP="006C28BB">
      <w:pPr>
        <w:spacing w:after="0" w:line="240" w:lineRule="auto"/>
        <w:rPr>
          <w:rFonts w:ascii="Times New Roman" w:eastAsia="Calibri" w:hAnsi="Times New Roman" w:cs="Times New Roman"/>
          <w:b/>
          <w:sz w:val="24"/>
          <w:szCs w:val="24"/>
        </w:rPr>
      </w:pPr>
    </w:p>
    <w:p w:rsidR="00DC4A9B" w:rsidRDefault="00DC4A9B" w:rsidP="006C28BB">
      <w:pPr>
        <w:spacing w:after="0" w:line="240" w:lineRule="auto"/>
        <w:rPr>
          <w:rFonts w:ascii="Times New Roman" w:eastAsia="Calibri" w:hAnsi="Times New Roman" w:cs="Times New Roman"/>
          <w:b/>
          <w:sz w:val="24"/>
          <w:szCs w:val="24"/>
        </w:rPr>
      </w:pPr>
    </w:p>
    <w:p w:rsidR="00DC4A9B" w:rsidRDefault="00DC4A9B" w:rsidP="006C28BB">
      <w:pPr>
        <w:spacing w:after="0" w:line="240" w:lineRule="auto"/>
        <w:rPr>
          <w:rFonts w:ascii="Times New Roman" w:eastAsia="Calibri" w:hAnsi="Times New Roman" w:cs="Times New Roman"/>
          <w:b/>
          <w:sz w:val="24"/>
          <w:szCs w:val="24"/>
        </w:rPr>
      </w:pPr>
    </w:p>
    <w:p w:rsidR="00DC4A9B" w:rsidRDefault="00DC4A9B" w:rsidP="006C28BB">
      <w:pPr>
        <w:spacing w:after="0" w:line="240" w:lineRule="auto"/>
        <w:rPr>
          <w:rFonts w:ascii="Times New Roman" w:eastAsia="Calibri" w:hAnsi="Times New Roman" w:cs="Times New Roman"/>
          <w:b/>
          <w:sz w:val="24"/>
          <w:szCs w:val="24"/>
        </w:rPr>
      </w:pPr>
    </w:p>
    <w:p w:rsidR="00DC4A9B" w:rsidRDefault="00DC4A9B" w:rsidP="006C28BB">
      <w:pPr>
        <w:spacing w:after="0" w:line="240" w:lineRule="auto"/>
        <w:rPr>
          <w:rFonts w:ascii="Times New Roman" w:eastAsia="Calibri" w:hAnsi="Times New Roman" w:cs="Times New Roman"/>
          <w:b/>
          <w:sz w:val="24"/>
          <w:szCs w:val="24"/>
        </w:rPr>
      </w:pPr>
    </w:p>
    <w:p w:rsidR="00DC4A9B" w:rsidRDefault="00DC4A9B" w:rsidP="006C28BB">
      <w:pPr>
        <w:spacing w:after="0" w:line="240" w:lineRule="auto"/>
        <w:rPr>
          <w:rFonts w:ascii="Times New Roman" w:eastAsia="Calibri" w:hAnsi="Times New Roman" w:cs="Times New Roman"/>
          <w:b/>
          <w:sz w:val="24"/>
          <w:szCs w:val="24"/>
        </w:rPr>
      </w:pPr>
    </w:p>
    <w:p w:rsidR="00DC4A9B" w:rsidRDefault="00DC4A9B" w:rsidP="006C28BB">
      <w:pPr>
        <w:spacing w:after="0" w:line="240" w:lineRule="auto"/>
        <w:rPr>
          <w:rFonts w:ascii="Times New Roman" w:eastAsia="Calibri" w:hAnsi="Times New Roman" w:cs="Times New Roman"/>
          <w:b/>
          <w:sz w:val="24"/>
          <w:szCs w:val="24"/>
        </w:rPr>
      </w:pPr>
    </w:p>
    <w:p w:rsidR="00DC4A9B" w:rsidRDefault="00DC4A9B" w:rsidP="006C28BB">
      <w:pPr>
        <w:spacing w:after="0" w:line="240" w:lineRule="auto"/>
        <w:rPr>
          <w:rFonts w:ascii="Times New Roman" w:eastAsia="Calibri" w:hAnsi="Times New Roman" w:cs="Times New Roman"/>
          <w:b/>
          <w:sz w:val="24"/>
          <w:szCs w:val="24"/>
        </w:rPr>
      </w:pPr>
    </w:p>
    <w:p w:rsidR="00DC4A9B" w:rsidRDefault="00DC4A9B" w:rsidP="006C28BB">
      <w:pPr>
        <w:spacing w:after="0" w:line="240" w:lineRule="auto"/>
        <w:rPr>
          <w:rFonts w:ascii="Times New Roman" w:eastAsia="Calibri" w:hAnsi="Times New Roman" w:cs="Times New Roman"/>
          <w:b/>
          <w:sz w:val="24"/>
          <w:szCs w:val="24"/>
        </w:rPr>
      </w:pPr>
    </w:p>
    <w:p w:rsidR="00DC4A9B" w:rsidRDefault="00DC4A9B" w:rsidP="006C28BB">
      <w:pPr>
        <w:spacing w:after="0" w:line="240" w:lineRule="auto"/>
        <w:rPr>
          <w:rFonts w:ascii="Times New Roman" w:eastAsia="Calibri" w:hAnsi="Times New Roman" w:cs="Times New Roman"/>
          <w:b/>
          <w:sz w:val="24"/>
          <w:szCs w:val="24"/>
        </w:rPr>
      </w:pPr>
    </w:p>
    <w:p w:rsidR="00DC4A9B" w:rsidRDefault="00DC4A9B" w:rsidP="006C28BB">
      <w:pPr>
        <w:spacing w:after="0" w:line="240" w:lineRule="auto"/>
        <w:rPr>
          <w:rFonts w:ascii="Times New Roman" w:eastAsia="Calibri" w:hAnsi="Times New Roman" w:cs="Times New Roman"/>
          <w:b/>
          <w:sz w:val="24"/>
          <w:szCs w:val="24"/>
        </w:rPr>
      </w:pPr>
    </w:p>
    <w:p w:rsidR="00DC3151" w:rsidRDefault="00DC3151" w:rsidP="006C28BB">
      <w:pPr>
        <w:spacing w:after="0" w:line="240" w:lineRule="auto"/>
        <w:rPr>
          <w:rFonts w:ascii="Times New Roman" w:eastAsia="Calibri" w:hAnsi="Times New Roman" w:cs="Times New Roman"/>
          <w:sz w:val="24"/>
          <w:szCs w:val="24"/>
        </w:rPr>
      </w:pPr>
      <w:r w:rsidRPr="003D6724">
        <w:rPr>
          <w:rFonts w:ascii="Times New Roman" w:eastAsia="Calibri" w:hAnsi="Times New Roman" w:cs="Times New Roman"/>
          <w:b/>
          <w:sz w:val="24"/>
          <w:szCs w:val="24"/>
        </w:rPr>
        <w:lastRenderedPageBreak/>
        <w:t xml:space="preserve">PROGRESSIVE RESISTIVE EXERCISE EFFECT ON LOWER TRAPEZIUS </w:t>
      </w:r>
      <w:r w:rsidR="003D6724">
        <w:rPr>
          <w:rFonts w:ascii="Times New Roman" w:eastAsia="Calibri" w:hAnsi="Times New Roman" w:cs="Times New Roman"/>
          <w:b/>
          <w:sz w:val="24"/>
          <w:szCs w:val="24"/>
        </w:rPr>
        <w:t xml:space="preserve">    </w:t>
      </w:r>
      <w:r w:rsidRPr="003D6724">
        <w:rPr>
          <w:rFonts w:ascii="Times New Roman" w:eastAsia="Calibri" w:hAnsi="Times New Roman" w:cs="Times New Roman"/>
          <w:b/>
          <w:sz w:val="24"/>
          <w:szCs w:val="24"/>
        </w:rPr>
        <w:t>CROSS-SECTIONAL THICKNESS AND STRENGTH.</w:t>
      </w:r>
      <w:r w:rsidRPr="006C28BB">
        <w:rPr>
          <w:rFonts w:ascii="Times New Roman" w:eastAsia="Calibri" w:hAnsi="Times New Roman" w:cs="Times New Roman"/>
          <w:sz w:val="24"/>
          <w:szCs w:val="24"/>
        </w:rPr>
        <w:t xml:space="preserve"> Fall G, Griffore J, Olthoff T, Rose J; Grand Valley State University, Grand Rapids, MI.</w:t>
      </w:r>
    </w:p>
    <w:p w:rsidR="003D6724" w:rsidRPr="006C28BB" w:rsidRDefault="003D6724" w:rsidP="006C28BB">
      <w:pPr>
        <w:spacing w:after="0" w:line="240" w:lineRule="auto"/>
        <w:rPr>
          <w:rFonts w:ascii="Times New Roman" w:eastAsia="Calibri" w:hAnsi="Times New Roman" w:cs="Times New Roman"/>
          <w:sz w:val="24"/>
          <w:szCs w:val="24"/>
        </w:rPr>
      </w:pPr>
    </w:p>
    <w:p w:rsidR="00DC3151" w:rsidRPr="006C28BB" w:rsidRDefault="00DC3151" w:rsidP="006C28BB">
      <w:pPr>
        <w:spacing w:after="0" w:line="240" w:lineRule="auto"/>
        <w:rPr>
          <w:rFonts w:ascii="Times New Roman" w:eastAsia="Calibri" w:hAnsi="Times New Roman" w:cs="Times New Roman"/>
          <w:sz w:val="24"/>
          <w:szCs w:val="24"/>
        </w:rPr>
      </w:pPr>
      <w:r w:rsidRPr="00D963CA">
        <w:rPr>
          <w:rFonts w:ascii="Times New Roman" w:eastAsia="Calibri" w:hAnsi="Times New Roman" w:cs="Times New Roman"/>
          <w:b/>
          <w:sz w:val="24"/>
          <w:szCs w:val="24"/>
        </w:rPr>
        <w:t>INTRODUCTION:</w:t>
      </w:r>
      <w:r w:rsidRPr="006C28BB">
        <w:rPr>
          <w:rFonts w:ascii="Times New Roman" w:eastAsia="Calibri" w:hAnsi="Times New Roman" w:cs="Times New Roman"/>
          <w:sz w:val="24"/>
          <w:szCs w:val="24"/>
        </w:rPr>
        <w:t xml:space="preserve"> Weakness and poor motor control of</w:t>
      </w:r>
      <w:r w:rsidR="00FB40B4">
        <w:rPr>
          <w:rFonts w:ascii="Times New Roman" w:eastAsia="Calibri" w:hAnsi="Times New Roman" w:cs="Times New Roman"/>
          <w:sz w:val="24"/>
          <w:szCs w:val="24"/>
        </w:rPr>
        <w:t xml:space="preserve"> the lower trapezius often lead</w:t>
      </w:r>
      <w:r w:rsidRPr="006C28BB">
        <w:rPr>
          <w:rFonts w:ascii="Times New Roman" w:eastAsia="Calibri" w:hAnsi="Times New Roman" w:cs="Times New Roman"/>
          <w:sz w:val="24"/>
          <w:szCs w:val="24"/>
        </w:rPr>
        <w:t xml:space="preserve"> to scapular imbalance and improper positioning of the glenoid fossa as the shoulder is elevated.  It is common for physical therapists to prescribe specific exercises for the lower trapezius in the treatment of shoulder pathologies. </w:t>
      </w:r>
      <w:r w:rsidR="00D963CA">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The purpose of this study wa</w:t>
      </w:r>
      <w:r w:rsidR="00FB40B4">
        <w:rPr>
          <w:rFonts w:ascii="Times New Roman" w:eastAsia="Calibri" w:hAnsi="Times New Roman" w:cs="Times New Roman"/>
          <w:sz w:val="24"/>
          <w:szCs w:val="24"/>
        </w:rPr>
        <w:t>s to examine the effect of a     10</w:t>
      </w:r>
      <w:r w:rsidRPr="006C28BB">
        <w:rPr>
          <w:rFonts w:ascii="Times New Roman" w:eastAsia="Calibri" w:hAnsi="Times New Roman" w:cs="Times New Roman"/>
          <w:sz w:val="24"/>
          <w:szCs w:val="24"/>
        </w:rPr>
        <w:t xml:space="preserve">-week progressive resistive exercise (PRE) program on strength and cross-sectional thickness of the lower trapezius in asymptomatic adult populations using two commonly utilized exercises in physical therapy practice. </w:t>
      </w:r>
      <w:r w:rsidR="00D963CA">
        <w:rPr>
          <w:rFonts w:ascii="Times New Roman" w:eastAsia="Calibri" w:hAnsi="Times New Roman" w:cs="Times New Roman"/>
          <w:sz w:val="24"/>
          <w:szCs w:val="24"/>
        </w:rPr>
        <w:t xml:space="preserve"> </w:t>
      </w:r>
      <w:r w:rsidRPr="00D963CA">
        <w:rPr>
          <w:rFonts w:ascii="Times New Roman" w:eastAsia="Calibri" w:hAnsi="Times New Roman" w:cs="Times New Roman"/>
          <w:b/>
          <w:sz w:val="24"/>
          <w:szCs w:val="24"/>
        </w:rPr>
        <w:t>METHODS:</w:t>
      </w:r>
      <w:r w:rsidR="00FB40B4">
        <w:rPr>
          <w:rFonts w:ascii="Times New Roman" w:eastAsia="Calibri" w:hAnsi="Times New Roman" w:cs="Times New Roman"/>
          <w:sz w:val="24"/>
          <w:szCs w:val="24"/>
        </w:rPr>
        <w:t xml:space="preserve"> Thirty-six</w:t>
      </w:r>
      <w:r w:rsidRPr="006C28BB">
        <w:rPr>
          <w:rFonts w:ascii="Times New Roman" w:eastAsia="Calibri" w:hAnsi="Times New Roman" w:cs="Times New Roman"/>
          <w:sz w:val="24"/>
          <w:szCs w:val="24"/>
        </w:rPr>
        <w:t xml:space="preserve"> healthy partic</w:t>
      </w:r>
      <w:r w:rsidR="00FB40B4">
        <w:rPr>
          <w:rFonts w:ascii="Times New Roman" w:eastAsia="Calibri" w:hAnsi="Times New Roman" w:cs="Times New Roman"/>
          <w:sz w:val="24"/>
          <w:szCs w:val="24"/>
        </w:rPr>
        <w:t>ipants were recruited from the greater Grand Rapids a</w:t>
      </w:r>
      <w:r w:rsidRPr="006C28BB">
        <w:rPr>
          <w:rFonts w:ascii="Times New Roman" w:eastAsia="Calibri" w:hAnsi="Times New Roman" w:cs="Times New Roman"/>
          <w:sz w:val="24"/>
          <w:szCs w:val="24"/>
        </w:rPr>
        <w:t xml:space="preserve">rea to take part in the 15-week repeated measures design. </w:t>
      </w:r>
      <w:r w:rsidR="00D963CA">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Baseline (B1) muscle strength of the lower trapezius was tested bilaterally</w:t>
      </w:r>
      <w:r w:rsidR="00FB40B4">
        <w:rPr>
          <w:rFonts w:ascii="Times New Roman" w:eastAsia="Calibri" w:hAnsi="Times New Roman" w:cs="Times New Roman"/>
          <w:sz w:val="24"/>
          <w:szCs w:val="24"/>
        </w:rPr>
        <w:t xml:space="preserve"> using a hand-held dynamometer, </w:t>
      </w:r>
      <w:r w:rsidRPr="006C28BB">
        <w:rPr>
          <w:rFonts w:ascii="Times New Roman" w:eastAsia="Calibri" w:hAnsi="Times New Roman" w:cs="Times New Roman"/>
          <w:sz w:val="24"/>
          <w:szCs w:val="24"/>
        </w:rPr>
        <w:t xml:space="preserve">and baseline cross-sectional thickness of the lower trapezius was measured bilaterally using diagnostic ultrasound. </w:t>
      </w:r>
      <w:r w:rsidR="00D963CA">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Following B1 measurements, participants completed </w:t>
      </w:r>
      <w:proofErr w:type="gramStart"/>
      <w:r w:rsidRPr="006C28BB">
        <w:rPr>
          <w:rFonts w:ascii="Times New Roman" w:eastAsia="Calibri" w:hAnsi="Times New Roman" w:cs="Times New Roman"/>
          <w:sz w:val="24"/>
          <w:szCs w:val="24"/>
        </w:rPr>
        <w:t xml:space="preserve">a </w:t>
      </w:r>
      <w:r w:rsidR="00FB40B4">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5</w:t>
      </w:r>
      <w:proofErr w:type="gramEnd"/>
      <w:r w:rsidRPr="006C28BB">
        <w:rPr>
          <w:rFonts w:ascii="Times New Roman" w:eastAsia="Calibri" w:hAnsi="Times New Roman" w:cs="Times New Roman"/>
          <w:sz w:val="24"/>
          <w:szCs w:val="24"/>
        </w:rPr>
        <w:t xml:space="preserve">-week period of no intervention and all measurements were repeated (B2). </w:t>
      </w:r>
      <w:r w:rsidR="00D963CA">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At this point, participants received verbal and illustrated instructions for 2 PREs (prone Y-raise and prone external rotation) designed to strengthen the lower trapezius using Thera-Band. </w:t>
      </w:r>
      <w:r w:rsidR="00D963CA">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Participants were prescribed a specific color of Thera-Band based on the </w:t>
      </w:r>
      <w:proofErr w:type="spellStart"/>
      <w:r w:rsidRPr="006C28BB">
        <w:rPr>
          <w:rFonts w:ascii="Times New Roman" w:eastAsia="Calibri" w:hAnsi="Times New Roman" w:cs="Times New Roman"/>
          <w:sz w:val="24"/>
          <w:szCs w:val="24"/>
        </w:rPr>
        <w:t>Oddvar-Holten</w:t>
      </w:r>
      <w:proofErr w:type="spellEnd"/>
      <w:r w:rsidRPr="006C28BB">
        <w:rPr>
          <w:rFonts w:ascii="Times New Roman" w:eastAsia="Calibri" w:hAnsi="Times New Roman" w:cs="Times New Roman"/>
          <w:sz w:val="24"/>
          <w:szCs w:val="24"/>
        </w:rPr>
        <w:t xml:space="preserve"> Scale. </w:t>
      </w:r>
      <w:r w:rsidR="00D963CA">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All measurements were repeated</w:t>
      </w:r>
      <w:r w:rsidR="00FB40B4">
        <w:rPr>
          <w:rFonts w:ascii="Times New Roman" w:eastAsia="Calibri" w:hAnsi="Times New Roman" w:cs="Times New Roman"/>
          <w:sz w:val="24"/>
          <w:szCs w:val="24"/>
        </w:rPr>
        <w:t xml:space="preserve"> after 5 weeks of exercise (E1)</w:t>
      </w:r>
      <w:r w:rsidRPr="006C28BB">
        <w:rPr>
          <w:rFonts w:ascii="Times New Roman" w:eastAsia="Calibri" w:hAnsi="Times New Roman" w:cs="Times New Roman"/>
          <w:sz w:val="24"/>
          <w:szCs w:val="24"/>
        </w:rPr>
        <w:t xml:space="preserve"> and after 10 weeks of exercise (E2).  Separate one-way repeated measures ANOVAs were run to identify any differences in strength and/or thickness between measurement times. </w:t>
      </w:r>
      <w:r w:rsidR="00D963CA">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A Bonferroni correction of the a-priori alpha .05 was performed to protect against type I errors with multiple post-hoc comparisons. </w:t>
      </w:r>
      <w:r w:rsidR="00D963CA">
        <w:rPr>
          <w:rFonts w:ascii="Times New Roman" w:eastAsia="Calibri" w:hAnsi="Times New Roman" w:cs="Times New Roman"/>
          <w:sz w:val="24"/>
          <w:szCs w:val="24"/>
        </w:rPr>
        <w:t xml:space="preserve"> </w:t>
      </w:r>
      <w:r w:rsidRPr="00D963CA">
        <w:rPr>
          <w:rFonts w:ascii="Times New Roman" w:eastAsia="Calibri" w:hAnsi="Times New Roman" w:cs="Times New Roman"/>
          <w:b/>
          <w:sz w:val="24"/>
          <w:szCs w:val="24"/>
        </w:rPr>
        <w:t>RESULTS:</w:t>
      </w:r>
      <w:r w:rsidR="00FB40B4">
        <w:rPr>
          <w:rFonts w:ascii="Times New Roman" w:eastAsia="Calibri" w:hAnsi="Times New Roman" w:cs="Times New Roman"/>
          <w:sz w:val="24"/>
          <w:szCs w:val="24"/>
        </w:rPr>
        <w:t xml:space="preserve"> Thirty-two</w:t>
      </w:r>
      <w:r w:rsidRPr="006C28BB">
        <w:rPr>
          <w:rFonts w:ascii="Times New Roman" w:eastAsia="Calibri" w:hAnsi="Times New Roman" w:cs="Times New Roman"/>
          <w:sz w:val="24"/>
          <w:szCs w:val="24"/>
        </w:rPr>
        <w:t xml:space="preserve"> individuals completed all phases of the study.  There was a statistically significant increase in lower trapezius strength from baseline with completion of the PRE program after 5 and 10 weeks for right, left, and combined conditions. </w:t>
      </w:r>
      <w:r w:rsidR="00D963CA">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There was no statistically significant difference in lower trapezius cross-sectional thickness at any point durin</w:t>
      </w:r>
      <w:r w:rsidR="00FB40B4">
        <w:rPr>
          <w:rFonts w:ascii="Times New Roman" w:eastAsia="Calibri" w:hAnsi="Times New Roman" w:cs="Times New Roman"/>
          <w:sz w:val="24"/>
          <w:szCs w:val="24"/>
        </w:rPr>
        <w:t>g the 15 weeks for the right, left,</w:t>
      </w:r>
      <w:r w:rsidRPr="006C28BB">
        <w:rPr>
          <w:rFonts w:ascii="Times New Roman" w:eastAsia="Calibri" w:hAnsi="Times New Roman" w:cs="Times New Roman"/>
          <w:sz w:val="24"/>
          <w:szCs w:val="24"/>
        </w:rPr>
        <w:t xml:space="preserve"> or combined</w:t>
      </w:r>
      <w:r w:rsidR="00FB40B4">
        <w:rPr>
          <w:rFonts w:ascii="Times New Roman" w:eastAsia="Calibri" w:hAnsi="Times New Roman" w:cs="Times New Roman"/>
          <w:sz w:val="24"/>
          <w:szCs w:val="24"/>
        </w:rPr>
        <w:t xml:space="preserve"> conditions</w:t>
      </w:r>
      <w:r w:rsidRPr="006C28BB">
        <w:rPr>
          <w:rFonts w:ascii="Times New Roman" w:eastAsia="Calibri" w:hAnsi="Times New Roman" w:cs="Times New Roman"/>
          <w:sz w:val="24"/>
          <w:szCs w:val="24"/>
        </w:rPr>
        <w:t xml:space="preserve">. </w:t>
      </w:r>
      <w:r w:rsidR="00D963CA">
        <w:rPr>
          <w:rFonts w:ascii="Times New Roman" w:eastAsia="Calibri" w:hAnsi="Times New Roman" w:cs="Times New Roman"/>
          <w:sz w:val="24"/>
          <w:szCs w:val="24"/>
        </w:rPr>
        <w:t xml:space="preserve"> </w:t>
      </w:r>
      <w:r w:rsidRPr="00D963CA">
        <w:rPr>
          <w:rFonts w:ascii="Times New Roman" w:eastAsia="Calibri" w:hAnsi="Times New Roman" w:cs="Times New Roman"/>
          <w:b/>
          <w:sz w:val="24"/>
          <w:szCs w:val="24"/>
        </w:rPr>
        <w:t>DISCUSSION:</w:t>
      </w:r>
      <w:r w:rsidRPr="006C28BB">
        <w:rPr>
          <w:rFonts w:ascii="Times New Roman" w:eastAsia="Calibri" w:hAnsi="Times New Roman" w:cs="Times New Roman"/>
          <w:sz w:val="24"/>
          <w:szCs w:val="24"/>
        </w:rPr>
        <w:t xml:space="preserve"> A 10-week PRE program designed to strengthen the lower trapezius demonstrated a significant increase in strength but not</w:t>
      </w:r>
      <w:r w:rsidR="00FB40B4">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 cross-sectional thickness. </w:t>
      </w:r>
      <w:r w:rsidR="00D963CA">
        <w:rPr>
          <w:rFonts w:ascii="Times New Roman" w:eastAsia="Calibri" w:hAnsi="Times New Roman" w:cs="Times New Roman"/>
          <w:sz w:val="24"/>
          <w:szCs w:val="24"/>
        </w:rPr>
        <w:t xml:space="preserve"> </w:t>
      </w:r>
      <w:r w:rsidR="00FB40B4">
        <w:rPr>
          <w:rFonts w:ascii="Times New Roman" w:eastAsia="Calibri" w:hAnsi="Times New Roman" w:cs="Times New Roman"/>
          <w:sz w:val="24"/>
          <w:szCs w:val="24"/>
        </w:rPr>
        <w:t>Prone Y-</w:t>
      </w:r>
      <w:r w:rsidRPr="006C28BB">
        <w:rPr>
          <w:rFonts w:ascii="Times New Roman" w:eastAsia="Calibri" w:hAnsi="Times New Roman" w:cs="Times New Roman"/>
          <w:sz w:val="24"/>
          <w:szCs w:val="24"/>
        </w:rPr>
        <w:t xml:space="preserve">raise and prone external rotation may be utilized to improve strength in the lower trapezius. </w:t>
      </w:r>
      <w:r w:rsidR="00D963CA">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Given that hypertrophy would be </w:t>
      </w:r>
      <w:r w:rsidR="00FB40B4">
        <w:rPr>
          <w:rFonts w:ascii="Times New Roman" w:eastAsia="Calibri" w:hAnsi="Times New Roman" w:cs="Times New Roman"/>
          <w:sz w:val="24"/>
          <w:szCs w:val="24"/>
        </w:rPr>
        <w:t>expected after 6-8 weeks, it was</w:t>
      </w:r>
      <w:r w:rsidRPr="006C28BB">
        <w:rPr>
          <w:rFonts w:ascii="Times New Roman" w:eastAsia="Calibri" w:hAnsi="Times New Roman" w:cs="Times New Roman"/>
          <w:sz w:val="24"/>
          <w:szCs w:val="24"/>
        </w:rPr>
        <w:t xml:space="preserve"> conclude</w:t>
      </w:r>
      <w:r w:rsidR="00FB40B4">
        <w:rPr>
          <w:rFonts w:ascii="Times New Roman" w:eastAsia="Calibri" w:hAnsi="Times New Roman" w:cs="Times New Roman"/>
          <w:sz w:val="24"/>
          <w:szCs w:val="24"/>
        </w:rPr>
        <w:t>d</w:t>
      </w:r>
      <w:r w:rsidRPr="006C28BB">
        <w:rPr>
          <w:rFonts w:ascii="Times New Roman" w:eastAsia="Calibri" w:hAnsi="Times New Roman" w:cs="Times New Roman"/>
          <w:sz w:val="24"/>
          <w:szCs w:val="24"/>
        </w:rPr>
        <w:t xml:space="preserve"> that even though strength increases, the thickness of the lower trapezius may not increase significantly. </w:t>
      </w:r>
      <w:r w:rsidR="00D963CA">
        <w:rPr>
          <w:rFonts w:ascii="Times New Roman" w:eastAsia="Calibri" w:hAnsi="Times New Roman" w:cs="Times New Roman"/>
          <w:sz w:val="24"/>
          <w:szCs w:val="24"/>
        </w:rPr>
        <w:t xml:space="preserve"> </w:t>
      </w:r>
      <w:r w:rsidRPr="006C28BB">
        <w:rPr>
          <w:rFonts w:ascii="Times New Roman" w:eastAsia="Calibri" w:hAnsi="Times New Roman" w:cs="Times New Roman"/>
          <w:sz w:val="24"/>
          <w:szCs w:val="24"/>
        </w:rPr>
        <w:t xml:space="preserve">This may be due to its composition of primarily type I fibers. </w:t>
      </w:r>
      <w:r w:rsidR="00D963CA">
        <w:rPr>
          <w:rFonts w:ascii="Times New Roman" w:eastAsia="Calibri" w:hAnsi="Times New Roman" w:cs="Times New Roman"/>
          <w:sz w:val="24"/>
          <w:szCs w:val="24"/>
        </w:rPr>
        <w:t xml:space="preserve"> </w:t>
      </w:r>
      <w:r w:rsidRPr="00D963CA">
        <w:rPr>
          <w:rFonts w:ascii="Times New Roman" w:eastAsia="Calibri" w:hAnsi="Times New Roman" w:cs="Times New Roman"/>
          <w:b/>
          <w:sz w:val="24"/>
          <w:szCs w:val="24"/>
        </w:rPr>
        <w:t>CONCLUSION</w:t>
      </w:r>
      <w:r w:rsidR="00D963CA" w:rsidRPr="00D963CA">
        <w:rPr>
          <w:rFonts w:ascii="Times New Roman" w:eastAsia="Calibri" w:hAnsi="Times New Roman" w:cs="Times New Roman"/>
          <w:b/>
          <w:sz w:val="24"/>
          <w:szCs w:val="24"/>
        </w:rPr>
        <w:t>S</w:t>
      </w:r>
      <w:r w:rsidRPr="00D963CA">
        <w:rPr>
          <w:rFonts w:ascii="Times New Roman" w:eastAsia="Calibri" w:hAnsi="Times New Roman" w:cs="Times New Roman"/>
          <w:b/>
          <w:sz w:val="24"/>
          <w:szCs w:val="24"/>
        </w:rPr>
        <w:t>:</w:t>
      </w:r>
      <w:r w:rsidRPr="006C28BB">
        <w:rPr>
          <w:rFonts w:ascii="Times New Roman" w:eastAsia="Calibri" w:hAnsi="Times New Roman" w:cs="Times New Roman"/>
          <w:sz w:val="24"/>
          <w:szCs w:val="24"/>
        </w:rPr>
        <w:t xml:space="preserve"> </w:t>
      </w:r>
      <w:r w:rsidR="00FB40B4">
        <w:rPr>
          <w:rFonts w:ascii="Times New Roman" w:eastAsia="Calibri" w:hAnsi="Times New Roman" w:cs="Times New Roman"/>
          <w:sz w:val="24"/>
          <w:szCs w:val="24"/>
        </w:rPr>
        <w:t>A PRE</w:t>
      </w:r>
      <w:r w:rsidRPr="006C28BB">
        <w:rPr>
          <w:rFonts w:ascii="Times New Roman" w:eastAsia="Calibri" w:hAnsi="Times New Roman" w:cs="Times New Roman"/>
          <w:sz w:val="24"/>
          <w:szCs w:val="24"/>
        </w:rPr>
        <w:t xml:space="preserve"> program specific for the lower trapezius may result in significant strength gains but no increases in cross-sectional thickness. </w:t>
      </w:r>
      <w:r w:rsidR="00D963CA">
        <w:rPr>
          <w:rFonts w:ascii="Times New Roman" w:eastAsia="Calibri" w:hAnsi="Times New Roman" w:cs="Times New Roman"/>
          <w:sz w:val="24"/>
          <w:szCs w:val="24"/>
        </w:rPr>
        <w:t xml:space="preserve"> </w:t>
      </w:r>
      <w:r w:rsidRPr="00D963CA">
        <w:rPr>
          <w:rFonts w:ascii="Times New Roman" w:eastAsia="Calibri" w:hAnsi="Times New Roman" w:cs="Times New Roman"/>
          <w:b/>
          <w:sz w:val="24"/>
          <w:szCs w:val="24"/>
        </w:rPr>
        <w:t>ACKNOWLEDGEMENTS:</w:t>
      </w:r>
      <w:r w:rsidR="00D963CA">
        <w:rPr>
          <w:rFonts w:ascii="Times New Roman" w:eastAsia="Calibri" w:hAnsi="Times New Roman" w:cs="Times New Roman"/>
          <w:sz w:val="24"/>
          <w:szCs w:val="24"/>
        </w:rPr>
        <w:t xml:space="preserve"> Miriam Teft, BS</w:t>
      </w:r>
      <w:r w:rsidR="00FB40B4">
        <w:rPr>
          <w:rFonts w:ascii="Times New Roman" w:eastAsia="Calibri" w:hAnsi="Times New Roman" w:cs="Times New Roman"/>
          <w:sz w:val="24"/>
          <w:szCs w:val="24"/>
        </w:rPr>
        <w:t>, RDMS, RVT;</w:t>
      </w:r>
      <w:r w:rsidR="00D963CA">
        <w:rPr>
          <w:rFonts w:ascii="Times New Roman" w:eastAsia="Calibri" w:hAnsi="Times New Roman" w:cs="Times New Roman"/>
          <w:sz w:val="24"/>
          <w:szCs w:val="24"/>
        </w:rPr>
        <w:t xml:space="preserve"> and</w:t>
      </w:r>
      <w:r w:rsidRPr="006C28BB">
        <w:rPr>
          <w:rFonts w:ascii="Times New Roman" w:eastAsia="Calibri" w:hAnsi="Times New Roman" w:cs="Times New Roman"/>
          <w:sz w:val="24"/>
          <w:szCs w:val="24"/>
        </w:rPr>
        <w:t xml:space="preserve"> Laurie Stickler, PT, DHS, OCS.                              </w:t>
      </w:r>
    </w:p>
    <w:p w:rsidR="00013E2B" w:rsidRPr="00765EA5" w:rsidRDefault="00013E2B" w:rsidP="00765EA5">
      <w:pPr>
        <w:spacing w:after="0" w:line="240" w:lineRule="auto"/>
        <w:rPr>
          <w:rFonts w:ascii="Times New Roman" w:hAnsi="Times New Roman" w:cs="Times New Roman"/>
          <w:sz w:val="24"/>
          <w:szCs w:val="24"/>
        </w:rPr>
      </w:pPr>
    </w:p>
    <w:p w:rsidR="008E2A65" w:rsidRDefault="008E2A65" w:rsidP="00765EA5">
      <w:pPr>
        <w:spacing w:after="0" w:line="240" w:lineRule="auto"/>
        <w:jc w:val="center"/>
        <w:rPr>
          <w:rFonts w:ascii="Times New Roman" w:hAnsi="Times New Roman" w:cs="Times New Roman"/>
          <w:sz w:val="72"/>
          <w:szCs w:val="72"/>
        </w:rPr>
      </w:pPr>
    </w:p>
    <w:p w:rsidR="008E2A65" w:rsidRDefault="008E2A65" w:rsidP="00765EA5">
      <w:pPr>
        <w:spacing w:after="0" w:line="240" w:lineRule="auto"/>
        <w:jc w:val="center"/>
        <w:rPr>
          <w:rFonts w:ascii="Times New Roman" w:hAnsi="Times New Roman" w:cs="Times New Roman"/>
          <w:sz w:val="72"/>
          <w:szCs w:val="72"/>
        </w:rPr>
      </w:pPr>
    </w:p>
    <w:p w:rsidR="008E2A65" w:rsidRDefault="008E2A65" w:rsidP="00765EA5">
      <w:pPr>
        <w:spacing w:after="0" w:line="240" w:lineRule="auto"/>
        <w:jc w:val="center"/>
        <w:rPr>
          <w:rFonts w:ascii="Times New Roman" w:hAnsi="Times New Roman" w:cs="Times New Roman"/>
          <w:sz w:val="72"/>
          <w:szCs w:val="72"/>
        </w:rPr>
      </w:pPr>
    </w:p>
    <w:p w:rsidR="008E2A65" w:rsidRDefault="008E2A65" w:rsidP="00765EA5">
      <w:pPr>
        <w:spacing w:after="0" w:line="240" w:lineRule="auto"/>
        <w:jc w:val="center"/>
        <w:rPr>
          <w:rFonts w:ascii="Times New Roman" w:hAnsi="Times New Roman" w:cs="Times New Roman"/>
          <w:sz w:val="72"/>
          <w:szCs w:val="72"/>
        </w:rPr>
      </w:pPr>
    </w:p>
    <w:p w:rsidR="008E2A65" w:rsidRDefault="008E2A65" w:rsidP="00013E2B">
      <w:pPr>
        <w:spacing w:after="0" w:line="240" w:lineRule="auto"/>
        <w:rPr>
          <w:rFonts w:ascii="Times New Roman" w:hAnsi="Times New Roman" w:cs="Times New Roman"/>
          <w:sz w:val="72"/>
          <w:szCs w:val="72"/>
        </w:rPr>
      </w:pPr>
    </w:p>
    <w:p w:rsidR="001A2313" w:rsidRDefault="001A2313" w:rsidP="00013E2B">
      <w:pPr>
        <w:spacing w:after="0" w:line="240" w:lineRule="auto"/>
        <w:rPr>
          <w:rFonts w:ascii="Times New Roman" w:hAnsi="Times New Roman" w:cs="Times New Roman"/>
          <w:sz w:val="72"/>
          <w:szCs w:val="72"/>
        </w:rPr>
      </w:pPr>
    </w:p>
    <w:p w:rsidR="005A0B0F" w:rsidRDefault="005A0B0F" w:rsidP="00765EA5">
      <w:pPr>
        <w:spacing w:after="0" w:line="240" w:lineRule="auto"/>
        <w:jc w:val="center"/>
        <w:rPr>
          <w:rFonts w:ascii="Times New Roman" w:hAnsi="Times New Roman" w:cs="Times New Roman"/>
          <w:sz w:val="72"/>
          <w:szCs w:val="72"/>
        </w:rPr>
      </w:pPr>
    </w:p>
    <w:p w:rsidR="006C28BB" w:rsidRDefault="006C28BB" w:rsidP="00765EA5">
      <w:pPr>
        <w:spacing w:after="0" w:line="240" w:lineRule="auto"/>
        <w:jc w:val="center"/>
        <w:rPr>
          <w:rFonts w:ascii="Times New Roman" w:hAnsi="Times New Roman" w:cs="Times New Roman"/>
          <w:sz w:val="72"/>
          <w:szCs w:val="72"/>
        </w:rPr>
      </w:pPr>
    </w:p>
    <w:p w:rsidR="008E2A65" w:rsidRDefault="008E2A65" w:rsidP="00765EA5">
      <w:pPr>
        <w:spacing w:after="0" w:line="240" w:lineRule="auto"/>
        <w:jc w:val="center"/>
        <w:rPr>
          <w:rFonts w:ascii="Times New Roman" w:hAnsi="Times New Roman" w:cs="Times New Roman"/>
          <w:sz w:val="72"/>
          <w:szCs w:val="72"/>
        </w:rPr>
      </w:pPr>
      <w:r>
        <w:rPr>
          <w:rFonts w:ascii="Times New Roman" w:hAnsi="Times New Roman" w:cs="Times New Roman"/>
          <w:sz w:val="72"/>
          <w:szCs w:val="72"/>
        </w:rPr>
        <w:t>Poster Presentations</w:t>
      </w: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415767" w:rsidRDefault="00415767" w:rsidP="00765EA5">
      <w:pPr>
        <w:spacing w:after="0" w:line="240" w:lineRule="auto"/>
        <w:jc w:val="center"/>
        <w:rPr>
          <w:rFonts w:ascii="Times New Roman" w:hAnsi="Times New Roman" w:cs="Times New Roman"/>
          <w:sz w:val="24"/>
          <w:szCs w:val="24"/>
        </w:rPr>
      </w:pPr>
    </w:p>
    <w:p w:rsidR="00DC3151" w:rsidRDefault="00DC3151" w:rsidP="00415767">
      <w:pPr>
        <w:spacing w:after="0" w:line="240" w:lineRule="auto"/>
        <w:rPr>
          <w:rFonts w:ascii="Times New Roman" w:hAnsi="Times New Roman" w:cs="Times New Roman"/>
          <w:sz w:val="24"/>
          <w:szCs w:val="24"/>
        </w:rPr>
      </w:pPr>
    </w:p>
    <w:p w:rsidR="001A2313" w:rsidRDefault="001A2313"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C60700" w:rsidRDefault="005A0B0F" w:rsidP="005A0B0F">
      <w:pPr>
        <w:spacing w:after="0" w:line="240" w:lineRule="auto"/>
        <w:rPr>
          <w:rFonts w:ascii="Times New Roman" w:hAnsi="Times New Roman" w:cs="Times New Roman"/>
          <w:b/>
          <w:sz w:val="24"/>
          <w:szCs w:val="24"/>
        </w:rPr>
      </w:pPr>
      <w:r w:rsidRPr="003D6724">
        <w:rPr>
          <w:rFonts w:ascii="Times New Roman" w:hAnsi="Times New Roman" w:cs="Times New Roman"/>
          <w:b/>
          <w:sz w:val="24"/>
          <w:szCs w:val="24"/>
        </w:rPr>
        <w:lastRenderedPageBreak/>
        <w:t>THE IMMEDIATE EFFECTS OF NEURODYNAMIC M</w:t>
      </w:r>
      <w:r w:rsidR="003D6724" w:rsidRPr="003D6724">
        <w:rPr>
          <w:rFonts w:ascii="Times New Roman" w:hAnsi="Times New Roman" w:cs="Times New Roman"/>
          <w:b/>
          <w:sz w:val="24"/>
          <w:szCs w:val="24"/>
        </w:rPr>
        <w:t xml:space="preserve">OBILIZATIONS ON </w:t>
      </w:r>
      <w:r w:rsidRPr="003D6724">
        <w:rPr>
          <w:rFonts w:ascii="Times New Roman" w:hAnsi="Times New Roman" w:cs="Times New Roman"/>
          <w:b/>
          <w:sz w:val="24"/>
          <w:szCs w:val="24"/>
        </w:rPr>
        <w:t>CHRONIC HEADACHE</w:t>
      </w:r>
      <w:r w:rsidR="003D6724" w:rsidRPr="003D6724">
        <w:rPr>
          <w:rFonts w:ascii="Times New Roman" w:hAnsi="Times New Roman" w:cs="Times New Roman"/>
          <w:b/>
          <w:sz w:val="24"/>
          <w:szCs w:val="24"/>
        </w:rPr>
        <w:t>.</w:t>
      </w:r>
      <w:r w:rsidR="003D6724">
        <w:rPr>
          <w:rFonts w:ascii="Times New Roman" w:hAnsi="Times New Roman" w:cs="Times New Roman"/>
          <w:b/>
          <w:sz w:val="24"/>
          <w:szCs w:val="24"/>
        </w:rPr>
        <w:t xml:space="preserve"> </w:t>
      </w:r>
      <w:r w:rsidRPr="005A0B0F">
        <w:rPr>
          <w:rFonts w:ascii="Times New Roman" w:hAnsi="Times New Roman" w:cs="Times New Roman"/>
          <w:sz w:val="24"/>
          <w:szCs w:val="24"/>
        </w:rPr>
        <w:t>Marek M, Maurer P, Troyer C, Vaughn D, Oakes S; Grand Valley State University, Grand Rapids, MI</w:t>
      </w:r>
      <w:r w:rsidR="003D6724">
        <w:rPr>
          <w:rFonts w:ascii="Times New Roman" w:hAnsi="Times New Roman" w:cs="Times New Roman"/>
          <w:sz w:val="24"/>
          <w:szCs w:val="24"/>
        </w:rPr>
        <w:t>.</w:t>
      </w:r>
    </w:p>
    <w:p w:rsidR="00C60700" w:rsidRDefault="00C60700" w:rsidP="005A0B0F">
      <w:pPr>
        <w:spacing w:after="0" w:line="240" w:lineRule="auto"/>
        <w:rPr>
          <w:rFonts w:ascii="Times New Roman" w:hAnsi="Times New Roman" w:cs="Times New Roman"/>
          <w:b/>
          <w:sz w:val="24"/>
          <w:szCs w:val="24"/>
        </w:rPr>
      </w:pPr>
    </w:p>
    <w:p w:rsidR="005A0B0F" w:rsidRPr="00C60700" w:rsidRDefault="00C60700" w:rsidP="005A0B0F">
      <w:pPr>
        <w:spacing w:after="0" w:line="240" w:lineRule="auto"/>
        <w:rPr>
          <w:rFonts w:ascii="Times New Roman" w:hAnsi="Times New Roman" w:cs="Times New Roman"/>
          <w:sz w:val="24"/>
          <w:szCs w:val="24"/>
        </w:rPr>
      </w:pPr>
      <w:r w:rsidRPr="00C60700">
        <w:rPr>
          <w:rFonts w:ascii="Times New Roman" w:hAnsi="Times New Roman" w:cs="Times New Roman"/>
          <w:b/>
          <w:sz w:val="24"/>
          <w:szCs w:val="24"/>
        </w:rPr>
        <w:t>INTRODU CTION</w:t>
      </w:r>
      <w:r w:rsidR="005A0B0F" w:rsidRPr="00C60700">
        <w:rPr>
          <w:rFonts w:ascii="Times New Roman" w:hAnsi="Times New Roman" w:cs="Times New Roman"/>
          <w:b/>
          <w:sz w:val="24"/>
          <w:szCs w:val="24"/>
        </w:rPr>
        <w:t>:</w:t>
      </w:r>
      <w:r w:rsidR="005A0B0F" w:rsidRPr="005A0B0F">
        <w:rPr>
          <w:rFonts w:ascii="Times New Roman" w:hAnsi="Times New Roman" w:cs="Times New Roman"/>
          <w:sz w:val="24"/>
          <w:szCs w:val="24"/>
        </w:rPr>
        <w:t xml:space="preserve"> Headache is one of the most common disorders of the nervous system</w:t>
      </w:r>
      <w:r w:rsidR="00AF437C">
        <w:rPr>
          <w:rFonts w:ascii="Times New Roman" w:hAnsi="Times New Roman" w:cs="Times New Roman"/>
          <w:sz w:val="24"/>
          <w:szCs w:val="24"/>
        </w:rPr>
        <w:t>,</w:t>
      </w:r>
      <w:r w:rsidR="005A0B0F" w:rsidRPr="005A0B0F">
        <w:rPr>
          <w:rFonts w:ascii="Times New Roman" w:hAnsi="Times New Roman" w:cs="Times New Roman"/>
          <w:sz w:val="24"/>
          <w:szCs w:val="24"/>
        </w:rPr>
        <w:t xml:space="preserve"> affecting 46% of the adult population. </w:t>
      </w:r>
      <w:r>
        <w:rPr>
          <w:rFonts w:ascii="Times New Roman" w:hAnsi="Times New Roman" w:cs="Times New Roman"/>
          <w:sz w:val="24"/>
          <w:szCs w:val="24"/>
        </w:rPr>
        <w:t xml:space="preserve"> </w:t>
      </w:r>
      <w:r w:rsidR="005A0B0F" w:rsidRPr="005A0B0F">
        <w:rPr>
          <w:rFonts w:ascii="Times New Roman" w:hAnsi="Times New Roman" w:cs="Times New Roman"/>
          <w:sz w:val="24"/>
          <w:szCs w:val="24"/>
        </w:rPr>
        <w:t xml:space="preserve">The effect of </w:t>
      </w:r>
      <w:proofErr w:type="spellStart"/>
      <w:r w:rsidR="005A0B0F" w:rsidRPr="005A0B0F">
        <w:rPr>
          <w:rFonts w:ascii="Times New Roman" w:hAnsi="Times New Roman" w:cs="Times New Roman"/>
          <w:sz w:val="24"/>
          <w:szCs w:val="24"/>
        </w:rPr>
        <w:t>neurodynamic</w:t>
      </w:r>
      <w:proofErr w:type="spellEnd"/>
      <w:r w:rsidR="005A0B0F" w:rsidRPr="005A0B0F">
        <w:rPr>
          <w:rFonts w:ascii="Times New Roman" w:hAnsi="Times New Roman" w:cs="Times New Roman"/>
          <w:sz w:val="24"/>
          <w:szCs w:val="24"/>
        </w:rPr>
        <w:t xml:space="preserve"> (ND) mobilizations</w:t>
      </w:r>
      <w:r w:rsidR="00AF437C">
        <w:rPr>
          <w:rFonts w:ascii="Times New Roman" w:hAnsi="Times New Roman" w:cs="Times New Roman"/>
          <w:sz w:val="24"/>
          <w:szCs w:val="24"/>
        </w:rPr>
        <w:t xml:space="preserve"> has not been formally studied.  H</w:t>
      </w:r>
      <w:r w:rsidR="005A0B0F" w:rsidRPr="005A0B0F">
        <w:rPr>
          <w:rFonts w:ascii="Times New Roman" w:hAnsi="Times New Roman" w:cs="Times New Roman"/>
          <w:sz w:val="24"/>
          <w:szCs w:val="24"/>
        </w:rPr>
        <w:t xml:space="preserve">owever, many authors advocate for its use. </w:t>
      </w:r>
      <w:r>
        <w:rPr>
          <w:rFonts w:ascii="Times New Roman" w:hAnsi="Times New Roman" w:cs="Times New Roman"/>
          <w:sz w:val="24"/>
          <w:szCs w:val="24"/>
        </w:rPr>
        <w:t xml:space="preserve"> </w:t>
      </w:r>
      <w:r w:rsidR="005A0B0F" w:rsidRPr="005A0B0F">
        <w:rPr>
          <w:rFonts w:ascii="Times New Roman" w:hAnsi="Times New Roman" w:cs="Times New Roman"/>
          <w:sz w:val="24"/>
          <w:szCs w:val="24"/>
        </w:rPr>
        <w:t xml:space="preserve">The purpose of this study was to explore and report the immediate effects of ND mobilizations with concurrent manual therapy interventions on patients presenting with a primary complaint of chronic headaches. </w:t>
      </w:r>
      <w:r>
        <w:rPr>
          <w:rFonts w:ascii="Times New Roman" w:hAnsi="Times New Roman" w:cs="Times New Roman"/>
          <w:sz w:val="24"/>
          <w:szCs w:val="24"/>
        </w:rPr>
        <w:t xml:space="preserve"> </w:t>
      </w:r>
      <w:r w:rsidR="005A0B0F" w:rsidRPr="00C60700">
        <w:rPr>
          <w:rFonts w:ascii="Times New Roman" w:hAnsi="Times New Roman" w:cs="Times New Roman"/>
          <w:b/>
          <w:sz w:val="24"/>
          <w:szCs w:val="24"/>
        </w:rPr>
        <w:t>METHODS:</w:t>
      </w:r>
      <w:r w:rsidR="005A0B0F" w:rsidRPr="005A0B0F">
        <w:rPr>
          <w:rFonts w:ascii="Times New Roman" w:hAnsi="Times New Roman" w:cs="Times New Roman"/>
          <w:sz w:val="24"/>
          <w:szCs w:val="24"/>
        </w:rPr>
        <w:t xml:space="preserve"> Using a test</w:t>
      </w:r>
      <w:r w:rsidR="00AF437C">
        <w:rPr>
          <w:rFonts w:ascii="Times New Roman" w:hAnsi="Times New Roman" w:cs="Times New Roman"/>
          <w:sz w:val="24"/>
          <w:szCs w:val="24"/>
        </w:rPr>
        <w:t>-retest design, ND mobilizations</w:t>
      </w:r>
      <w:r w:rsidR="005A0B0F" w:rsidRPr="005A0B0F">
        <w:rPr>
          <w:rFonts w:ascii="Times New Roman" w:hAnsi="Times New Roman" w:cs="Times New Roman"/>
          <w:sz w:val="24"/>
          <w:szCs w:val="24"/>
        </w:rPr>
        <w:t xml:space="preserve"> wer</w:t>
      </w:r>
      <w:r w:rsidR="00AF437C">
        <w:rPr>
          <w:rFonts w:ascii="Times New Roman" w:hAnsi="Times New Roman" w:cs="Times New Roman"/>
          <w:sz w:val="24"/>
          <w:szCs w:val="24"/>
        </w:rPr>
        <w:t>e performed in a single session</w:t>
      </w:r>
      <w:r w:rsidR="005A0B0F" w:rsidRPr="005A0B0F">
        <w:rPr>
          <w:rFonts w:ascii="Times New Roman" w:hAnsi="Times New Roman" w:cs="Times New Roman"/>
          <w:sz w:val="24"/>
          <w:szCs w:val="24"/>
        </w:rPr>
        <w:t xml:space="preserve"> </w:t>
      </w:r>
      <w:r w:rsidR="00AF437C">
        <w:rPr>
          <w:rFonts w:ascii="Times New Roman" w:hAnsi="Times New Roman" w:cs="Times New Roman"/>
          <w:sz w:val="24"/>
          <w:szCs w:val="24"/>
        </w:rPr>
        <w:t>on a convenience sample of 8</w:t>
      </w:r>
      <w:r w:rsidR="005A0B0F" w:rsidRPr="005A0B0F">
        <w:rPr>
          <w:rFonts w:ascii="Times New Roman" w:hAnsi="Times New Roman" w:cs="Times New Roman"/>
          <w:sz w:val="24"/>
          <w:szCs w:val="24"/>
        </w:rPr>
        <w:t xml:space="preserve"> patients consist</w:t>
      </w:r>
      <w:r w:rsidR="00771A6D">
        <w:rPr>
          <w:rFonts w:ascii="Times New Roman" w:hAnsi="Times New Roman" w:cs="Times New Roman"/>
          <w:sz w:val="24"/>
          <w:szCs w:val="24"/>
        </w:rPr>
        <w:t>ing of 7 females and 1 male</w:t>
      </w:r>
      <w:r w:rsidR="00AF437C">
        <w:rPr>
          <w:rFonts w:ascii="Times New Roman" w:hAnsi="Times New Roman" w:cs="Times New Roman"/>
          <w:sz w:val="24"/>
          <w:szCs w:val="24"/>
        </w:rPr>
        <w:t>,</w:t>
      </w:r>
      <w:r w:rsidR="00771A6D">
        <w:rPr>
          <w:rFonts w:ascii="Times New Roman" w:hAnsi="Times New Roman" w:cs="Times New Roman"/>
          <w:sz w:val="24"/>
          <w:szCs w:val="24"/>
        </w:rPr>
        <w:t xml:space="preserve"> 30 to </w:t>
      </w:r>
      <w:r w:rsidR="005A0B0F" w:rsidRPr="005A0B0F">
        <w:rPr>
          <w:rFonts w:ascii="Times New Roman" w:hAnsi="Times New Roman" w:cs="Times New Roman"/>
          <w:sz w:val="24"/>
          <w:szCs w:val="24"/>
        </w:rPr>
        <w:t xml:space="preserve">65 </w:t>
      </w:r>
      <w:r w:rsidR="00771A6D">
        <w:rPr>
          <w:rFonts w:ascii="Times New Roman" w:hAnsi="Times New Roman" w:cs="Times New Roman"/>
          <w:sz w:val="24"/>
          <w:szCs w:val="24"/>
        </w:rPr>
        <w:t>years of age</w:t>
      </w:r>
      <w:r w:rsidR="00AF437C">
        <w:rPr>
          <w:rFonts w:ascii="Times New Roman" w:hAnsi="Times New Roman" w:cs="Times New Roman"/>
          <w:sz w:val="24"/>
          <w:szCs w:val="24"/>
        </w:rPr>
        <w:t>,</w:t>
      </w:r>
      <w:r w:rsidR="00771A6D">
        <w:rPr>
          <w:rFonts w:ascii="Times New Roman" w:hAnsi="Times New Roman" w:cs="Times New Roman"/>
          <w:sz w:val="24"/>
          <w:szCs w:val="24"/>
        </w:rPr>
        <w:t xml:space="preserve"> </w:t>
      </w:r>
      <w:r w:rsidR="005A0B0F" w:rsidRPr="005A0B0F">
        <w:rPr>
          <w:rFonts w:ascii="Times New Roman" w:hAnsi="Times New Roman" w:cs="Times New Roman"/>
          <w:sz w:val="24"/>
          <w:szCs w:val="24"/>
        </w:rPr>
        <w:t xml:space="preserve">with chronic headache ranging from 6 months to 25 years </w:t>
      </w:r>
      <w:r w:rsidR="00AF437C">
        <w:rPr>
          <w:rFonts w:ascii="Times New Roman" w:hAnsi="Times New Roman" w:cs="Times New Roman"/>
          <w:sz w:val="24"/>
          <w:szCs w:val="24"/>
        </w:rPr>
        <w:t xml:space="preserve">in </w:t>
      </w:r>
      <w:r w:rsidR="005A0B0F" w:rsidRPr="005A0B0F">
        <w:rPr>
          <w:rFonts w:ascii="Times New Roman" w:hAnsi="Times New Roman" w:cs="Times New Roman"/>
          <w:sz w:val="24"/>
          <w:szCs w:val="24"/>
        </w:rPr>
        <w:t xml:space="preserve">duration. </w:t>
      </w:r>
      <w:r>
        <w:rPr>
          <w:rFonts w:ascii="Times New Roman" w:hAnsi="Times New Roman" w:cs="Times New Roman"/>
          <w:sz w:val="24"/>
          <w:szCs w:val="24"/>
        </w:rPr>
        <w:t xml:space="preserve"> </w:t>
      </w:r>
      <w:r w:rsidR="005A0B0F" w:rsidRPr="005A0B0F">
        <w:rPr>
          <w:rFonts w:ascii="Times New Roman" w:hAnsi="Times New Roman" w:cs="Times New Roman"/>
          <w:sz w:val="24"/>
          <w:szCs w:val="24"/>
        </w:rPr>
        <w:t xml:space="preserve">Active cervical flexion range of motion (ROM) during a seated slump test (SST) and passive elbow extension ROM during upper limb nerve tension test two (ULNT2), along with report of headache intensity and associated symptoms, were assessed before and after the intervention. </w:t>
      </w:r>
      <w:r>
        <w:rPr>
          <w:rFonts w:ascii="Times New Roman" w:hAnsi="Times New Roman" w:cs="Times New Roman"/>
          <w:sz w:val="24"/>
          <w:szCs w:val="24"/>
        </w:rPr>
        <w:t xml:space="preserve"> </w:t>
      </w:r>
      <w:r w:rsidR="005A0B0F" w:rsidRPr="005A0B0F">
        <w:rPr>
          <w:rFonts w:ascii="Times New Roman" w:hAnsi="Times New Roman" w:cs="Times New Roman"/>
          <w:sz w:val="24"/>
          <w:szCs w:val="24"/>
        </w:rPr>
        <w:t xml:space="preserve">Wilcoxon Signed Rank tests were performed to detect any statistical differences between baseline and post-treatment. </w:t>
      </w:r>
      <w:r>
        <w:rPr>
          <w:rFonts w:ascii="Times New Roman" w:hAnsi="Times New Roman" w:cs="Times New Roman"/>
          <w:sz w:val="24"/>
          <w:szCs w:val="24"/>
        </w:rPr>
        <w:t xml:space="preserve"> </w:t>
      </w:r>
      <w:r w:rsidR="005A0B0F" w:rsidRPr="00C60700">
        <w:rPr>
          <w:rFonts w:ascii="Times New Roman" w:hAnsi="Times New Roman" w:cs="Times New Roman"/>
          <w:b/>
          <w:sz w:val="24"/>
          <w:szCs w:val="24"/>
        </w:rPr>
        <w:t>RESULTS:</w:t>
      </w:r>
      <w:r w:rsidR="005A0B0F" w:rsidRPr="005A0B0F">
        <w:rPr>
          <w:rFonts w:ascii="Times New Roman" w:hAnsi="Times New Roman" w:cs="Times New Roman"/>
          <w:sz w:val="24"/>
          <w:szCs w:val="24"/>
        </w:rPr>
        <w:t xml:space="preserve"> Clinically important improvements resulted immediately after</w:t>
      </w:r>
      <w:r w:rsidR="00AF437C">
        <w:rPr>
          <w:rFonts w:ascii="Times New Roman" w:hAnsi="Times New Roman" w:cs="Times New Roman"/>
          <w:sz w:val="24"/>
          <w:szCs w:val="24"/>
        </w:rPr>
        <w:t xml:space="preserve"> treatment for each patient</w:t>
      </w:r>
      <w:r w:rsidR="005A0B0F" w:rsidRPr="005A0B0F">
        <w:rPr>
          <w:rFonts w:ascii="Times New Roman" w:hAnsi="Times New Roman" w:cs="Times New Roman"/>
          <w:sz w:val="24"/>
          <w:szCs w:val="24"/>
        </w:rPr>
        <w:t xml:space="preserve"> as indicated by increased cervical ROM, decreased elbow flexion ROM, and decreased numeric pain rating scores. </w:t>
      </w:r>
      <w:r>
        <w:rPr>
          <w:rFonts w:ascii="Times New Roman" w:hAnsi="Times New Roman" w:cs="Times New Roman"/>
          <w:sz w:val="24"/>
          <w:szCs w:val="24"/>
        </w:rPr>
        <w:t xml:space="preserve"> </w:t>
      </w:r>
      <w:r w:rsidR="00AF437C">
        <w:rPr>
          <w:rFonts w:ascii="Times New Roman" w:hAnsi="Times New Roman" w:cs="Times New Roman"/>
          <w:sz w:val="24"/>
          <w:szCs w:val="24"/>
        </w:rPr>
        <w:t>The m</w:t>
      </w:r>
      <w:r w:rsidR="005A0B0F" w:rsidRPr="005A0B0F">
        <w:rPr>
          <w:rFonts w:ascii="Times New Roman" w:hAnsi="Times New Roman" w:cs="Times New Roman"/>
          <w:sz w:val="24"/>
          <w:szCs w:val="24"/>
        </w:rPr>
        <w:t xml:space="preserve">edian change in pain scores for the group decreased by 4.5 points. </w:t>
      </w:r>
      <w:r>
        <w:rPr>
          <w:rFonts w:ascii="Times New Roman" w:hAnsi="Times New Roman" w:cs="Times New Roman"/>
          <w:sz w:val="24"/>
          <w:szCs w:val="24"/>
        </w:rPr>
        <w:t xml:space="preserve"> </w:t>
      </w:r>
      <w:r w:rsidR="00AF437C">
        <w:rPr>
          <w:rFonts w:ascii="Times New Roman" w:hAnsi="Times New Roman" w:cs="Times New Roman"/>
          <w:sz w:val="24"/>
          <w:szCs w:val="24"/>
        </w:rPr>
        <w:t>The m</w:t>
      </w:r>
      <w:r w:rsidR="005A0B0F" w:rsidRPr="005A0B0F">
        <w:rPr>
          <w:rFonts w:ascii="Times New Roman" w:hAnsi="Times New Roman" w:cs="Times New Roman"/>
          <w:sz w:val="24"/>
          <w:szCs w:val="24"/>
        </w:rPr>
        <w:t xml:space="preserve">edian change in cervical flexion active ROM during right- and left-sided SST increased by 14 degrees and 12.5 degrees, respectively. </w:t>
      </w:r>
      <w:r>
        <w:rPr>
          <w:rFonts w:ascii="Times New Roman" w:hAnsi="Times New Roman" w:cs="Times New Roman"/>
          <w:sz w:val="24"/>
          <w:szCs w:val="24"/>
        </w:rPr>
        <w:t xml:space="preserve"> </w:t>
      </w:r>
      <w:r w:rsidR="00AF437C">
        <w:rPr>
          <w:rFonts w:ascii="Times New Roman" w:hAnsi="Times New Roman" w:cs="Times New Roman"/>
          <w:sz w:val="24"/>
          <w:szCs w:val="24"/>
        </w:rPr>
        <w:t>The m</w:t>
      </w:r>
      <w:r w:rsidR="005A0B0F" w:rsidRPr="005A0B0F">
        <w:rPr>
          <w:rFonts w:ascii="Times New Roman" w:hAnsi="Times New Roman" w:cs="Times New Roman"/>
          <w:sz w:val="24"/>
          <w:szCs w:val="24"/>
        </w:rPr>
        <w:t>edian change in elbow extension</w:t>
      </w:r>
      <w:r w:rsidR="00AF437C">
        <w:rPr>
          <w:rFonts w:ascii="Times New Roman" w:hAnsi="Times New Roman" w:cs="Times New Roman"/>
          <w:sz w:val="24"/>
          <w:szCs w:val="24"/>
        </w:rPr>
        <w:t xml:space="preserve"> passive ROM</w:t>
      </w:r>
      <w:r w:rsidR="005A0B0F" w:rsidRPr="005A0B0F">
        <w:rPr>
          <w:rFonts w:ascii="Times New Roman" w:hAnsi="Times New Roman" w:cs="Times New Roman"/>
          <w:sz w:val="24"/>
          <w:szCs w:val="24"/>
        </w:rPr>
        <w:t xml:space="preserve"> during right and left-sided ULNT2 was 28 degrees and 29.5 degrees, respectively. </w:t>
      </w:r>
      <w:r>
        <w:rPr>
          <w:rFonts w:ascii="Times New Roman" w:hAnsi="Times New Roman" w:cs="Times New Roman"/>
          <w:sz w:val="24"/>
          <w:szCs w:val="24"/>
        </w:rPr>
        <w:t xml:space="preserve"> </w:t>
      </w:r>
      <w:r w:rsidR="005A0B0F" w:rsidRPr="005A0B0F">
        <w:rPr>
          <w:rFonts w:ascii="Times New Roman" w:hAnsi="Times New Roman" w:cs="Times New Roman"/>
          <w:sz w:val="24"/>
          <w:szCs w:val="24"/>
        </w:rPr>
        <w:t xml:space="preserve">There were no reported adverse effects of increased pain or headache following </w:t>
      </w:r>
      <w:r w:rsidR="00AF437C">
        <w:rPr>
          <w:rFonts w:ascii="Times New Roman" w:hAnsi="Times New Roman" w:cs="Times New Roman"/>
          <w:sz w:val="24"/>
          <w:szCs w:val="24"/>
        </w:rPr>
        <w:t xml:space="preserve">the </w:t>
      </w:r>
      <w:r w:rsidR="005A0B0F" w:rsidRPr="005A0B0F">
        <w:rPr>
          <w:rFonts w:ascii="Times New Roman" w:hAnsi="Times New Roman" w:cs="Times New Roman"/>
          <w:sz w:val="24"/>
          <w:szCs w:val="24"/>
        </w:rPr>
        <w:t xml:space="preserve">treatment. </w:t>
      </w:r>
      <w:r>
        <w:rPr>
          <w:rFonts w:ascii="Times New Roman" w:hAnsi="Times New Roman" w:cs="Times New Roman"/>
          <w:sz w:val="24"/>
          <w:szCs w:val="24"/>
        </w:rPr>
        <w:t xml:space="preserve"> </w:t>
      </w:r>
      <w:r w:rsidR="005A0B0F" w:rsidRPr="00C60700">
        <w:rPr>
          <w:rFonts w:ascii="Times New Roman" w:hAnsi="Times New Roman" w:cs="Times New Roman"/>
          <w:b/>
          <w:sz w:val="24"/>
          <w:szCs w:val="24"/>
        </w:rPr>
        <w:t>DISCUSSION:</w:t>
      </w:r>
      <w:r w:rsidR="005A0B0F" w:rsidRPr="005A0B0F">
        <w:rPr>
          <w:rFonts w:ascii="Times New Roman" w:hAnsi="Times New Roman" w:cs="Times New Roman"/>
          <w:sz w:val="24"/>
          <w:szCs w:val="24"/>
        </w:rPr>
        <w:t xml:space="preserve"> Although the authors c</w:t>
      </w:r>
      <w:r w:rsidR="00AF437C">
        <w:rPr>
          <w:rFonts w:ascii="Times New Roman" w:hAnsi="Times New Roman" w:cs="Times New Roman"/>
          <w:sz w:val="24"/>
          <w:szCs w:val="24"/>
        </w:rPr>
        <w:t>annot state that the results were</w:t>
      </w:r>
      <w:r w:rsidR="005A0B0F" w:rsidRPr="005A0B0F">
        <w:rPr>
          <w:rFonts w:ascii="Times New Roman" w:hAnsi="Times New Roman" w:cs="Times New Roman"/>
          <w:sz w:val="24"/>
          <w:szCs w:val="24"/>
        </w:rPr>
        <w:t xml:space="preserve"> due to the ND mobilizations alone, the data suggests meaningful clinical implications for the use of this intervention for </w:t>
      </w:r>
      <w:r w:rsidR="00AF437C">
        <w:rPr>
          <w:rFonts w:ascii="Times New Roman" w:hAnsi="Times New Roman" w:cs="Times New Roman"/>
          <w:sz w:val="24"/>
          <w:szCs w:val="24"/>
        </w:rPr>
        <w:t xml:space="preserve">the </w:t>
      </w:r>
      <w:r w:rsidR="005A0B0F" w:rsidRPr="005A0B0F">
        <w:rPr>
          <w:rFonts w:ascii="Times New Roman" w:hAnsi="Times New Roman" w:cs="Times New Roman"/>
          <w:sz w:val="24"/>
          <w:szCs w:val="24"/>
        </w:rPr>
        <w:t xml:space="preserve">treatment of patients with chronic headache. </w:t>
      </w:r>
      <w:r>
        <w:rPr>
          <w:rFonts w:ascii="Times New Roman" w:hAnsi="Times New Roman" w:cs="Times New Roman"/>
          <w:sz w:val="24"/>
          <w:szCs w:val="24"/>
        </w:rPr>
        <w:t xml:space="preserve"> </w:t>
      </w:r>
      <w:r w:rsidR="005A0B0F" w:rsidRPr="005A0B0F">
        <w:rPr>
          <w:rFonts w:ascii="Times New Roman" w:hAnsi="Times New Roman" w:cs="Times New Roman"/>
          <w:sz w:val="24"/>
          <w:szCs w:val="24"/>
        </w:rPr>
        <w:t>However, long-term effects of</w:t>
      </w:r>
      <w:r w:rsidR="00AF437C">
        <w:rPr>
          <w:rFonts w:ascii="Times New Roman" w:hAnsi="Times New Roman" w:cs="Times New Roman"/>
          <w:sz w:val="24"/>
          <w:szCs w:val="24"/>
        </w:rPr>
        <w:t xml:space="preserve"> the</w:t>
      </w:r>
      <w:r w:rsidR="005A0B0F" w:rsidRPr="005A0B0F">
        <w:rPr>
          <w:rFonts w:ascii="Times New Roman" w:hAnsi="Times New Roman" w:cs="Times New Roman"/>
          <w:sz w:val="24"/>
          <w:szCs w:val="24"/>
        </w:rPr>
        <w:t xml:space="preserve"> treatment are still unknown. </w:t>
      </w:r>
      <w:r>
        <w:rPr>
          <w:rFonts w:ascii="Times New Roman" w:hAnsi="Times New Roman" w:cs="Times New Roman"/>
          <w:sz w:val="24"/>
          <w:szCs w:val="24"/>
        </w:rPr>
        <w:t xml:space="preserve"> </w:t>
      </w:r>
      <w:r w:rsidR="005A0B0F" w:rsidRPr="005A0B0F">
        <w:rPr>
          <w:rFonts w:ascii="Times New Roman" w:hAnsi="Times New Roman" w:cs="Times New Roman"/>
          <w:sz w:val="24"/>
          <w:szCs w:val="24"/>
        </w:rPr>
        <w:t>In this study, 6 of the 8 patients reported a decrease in headache intensity, 5 of the 8 patients demonstrated an in</w:t>
      </w:r>
      <w:r w:rsidR="00AF437C">
        <w:rPr>
          <w:rFonts w:ascii="Times New Roman" w:hAnsi="Times New Roman" w:cs="Times New Roman"/>
          <w:sz w:val="24"/>
          <w:szCs w:val="24"/>
        </w:rPr>
        <w:t xml:space="preserve">crease in cervical flexion ROM and </w:t>
      </w:r>
      <w:r w:rsidR="005A0B0F" w:rsidRPr="005A0B0F">
        <w:rPr>
          <w:rFonts w:ascii="Times New Roman" w:hAnsi="Times New Roman" w:cs="Times New Roman"/>
          <w:sz w:val="24"/>
          <w:szCs w:val="24"/>
        </w:rPr>
        <w:t xml:space="preserve">all </w:t>
      </w:r>
      <w:r w:rsidR="00AF437C">
        <w:rPr>
          <w:rFonts w:ascii="Times New Roman" w:hAnsi="Times New Roman" w:cs="Times New Roman"/>
          <w:sz w:val="24"/>
          <w:szCs w:val="24"/>
        </w:rPr>
        <w:t xml:space="preserve">of the </w:t>
      </w:r>
      <w:r w:rsidR="005A0B0F" w:rsidRPr="005A0B0F">
        <w:rPr>
          <w:rFonts w:ascii="Times New Roman" w:hAnsi="Times New Roman" w:cs="Times New Roman"/>
          <w:sz w:val="24"/>
          <w:szCs w:val="24"/>
        </w:rPr>
        <w:t xml:space="preserve">patients demonstrated a beneficial change in elbow extension ROM before the onset of symptoms. </w:t>
      </w:r>
      <w:r>
        <w:rPr>
          <w:rFonts w:ascii="Times New Roman" w:hAnsi="Times New Roman" w:cs="Times New Roman"/>
          <w:sz w:val="24"/>
          <w:szCs w:val="24"/>
        </w:rPr>
        <w:t xml:space="preserve"> </w:t>
      </w:r>
      <w:r w:rsidR="005A0B0F" w:rsidRPr="00C60700">
        <w:rPr>
          <w:rFonts w:ascii="Times New Roman" w:hAnsi="Times New Roman" w:cs="Times New Roman"/>
          <w:b/>
          <w:sz w:val="24"/>
          <w:szCs w:val="24"/>
        </w:rPr>
        <w:t>CONCLUSION</w:t>
      </w:r>
      <w:r w:rsidRPr="00C60700">
        <w:rPr>
          <w:rFonts w:ascii="Times New Roman" w:hAnsi="Times New Roman" w:cs="Times New Roman"/>
          <w:b/>
          <w:sz w:val="24"/>
          <w:szCs w:val="24"/>
        </w:rPr>
        <w:t>S</w:t>
      </w:r>
      <w:r w:rsidR="005A0B0F" w:rsidRPr="00C60700">
        <w:rPr>
          <w:rFonts w:ascii="Times New Roman" w:hAnsi="Times New Roman" w:cs="Times New Roman"/>
          <w:b/>
          <w:sz w:val="24"/>
          <w:szCs w:val="24"/>
        </w:rPr>
        <w:t>:</w:t>
      </w:r>
      <w:r w:rsidR="005A0B0F" w:rsidRPr="005A0B0F">
        <w:rPr>
          <w:rFonts w:ascii="Times New Roman" w:hAnsi="Times New Roman" w:cs="Times New Roman"/>
          <w:sz w:val="24"/>
          <w:szCs w:val="24"/>
        </w:rPr>
        <w:t xml:space="preserve"> This study supports the possibility that a relationship exists between altered or dysfunctional </w:t>
      </w:r>
      <w:proofErr w:type="spellStart"/>
      <w:r w:rsidR="005A0B0F" w:rsidRPr="005A0B0F">
        <w:rPr>
          <w:rFonts w:ascii="Times New Roman" w:hAnsi="Times New Roman" w:cs="Times New Roman"/>
          <w:sz w:val="24"/>
          <w:szCs w:val="24"/>
        </w:rPr>
        <w:t>neurodynamics</w:t>
      </w:r>
      <w:proofErr w:type="spellEnd"/>
      <w:r w:rsidR="005A0B0F" w:rsidRPr="005A0B0F">
        <w:rPr>
          <w:rFonts w:ascii="Times New Roman" w:hAnsi="Times New Roman" w:cs="Times New Roman"/>
          <w:sz w:val="24"/>
          <w:szCs w:val="24"/>
        </w:rPr>
        <w:t xml:space="preserve"> and the symptoms of chronic headaches. </w:t>
      </w:r>
      <w:r>
        <w:rPr>
          <w:rFonts w:ascii="Times New Roman" w:hAnsi="Times New Roman" w:cs="Times New Roman"/>
          <w:sz w:val="24"/>
          <w:szCs w:val="24"/>
        </w:rPr>
        <w:t xml:space="preserve"> </w:t>
      </w:r>
      <w:r w:rsidR="005A0B0F" w:rsidRPr="005A0B0F">
        <w:rPr>
          <w:rFonts w:ascii="Times New Roman" w:hAnsi="Times New Roman" w:cs="Times New Roman"/>
          <w:sz w:val="24"/>
          <w:szCs w:val="24"/>
        </w:rPr>
        <w:t>In addition, the study also provides preliminary evidence for t</w:t>
      </w:r>
      <w:r w:rsidR="00AF437C">
        <w:rPr>
          <w:rFonts w:ascii="Times New Roman" w:hAnsi="Times New Roman" w:cs="Times New Roman"/>
          <w:sz w:val="24"/>
          <w:szCs w:val="24"/>
        </w:rPr>
        <w:t>he effectiveness of ND</w:t>
      </w:r>
      <w:r w:rsidR="005A0B0F" w:rsidRPr="005A0B0F">
        <w:rPr>
          <w:rFonts w:ascii="Times New Roman" w:hAnsi="Times New Roman" w:cs="Times New Roman"/>
          <w:sz w:val="24"/>
          <w:szCs w:val="24"/>
        </w:rPr>
        <w:t xml:space="preserve"> mobilizations in managing p</w:t>
      </w:r>
      <w:r>
        <w:rPr>
          <w:rFonts w:ascii="Times New Roman" w:hAnsi="Times New Roman" w:cs="Times New Roman"/>
          <w:sz w:val="24"/>
          <w:szCs w:val="24"/>
        </w:rPr>
        <w:t xml:space="preserve">atients with chronic headaches.  </w:t>
      </w:r>
      <w:r w:rsidR="005A0B0F" w:rsidRPr="00C60700">
        <w:rPr>
          <w:rFonts w:ascii="Times New Roman" w:hAnsi="Times New Roman" w:cs="Times New Roman"/>
          <w:b/>
          <w:sz w:val="24"/>
          <w:szCs w:val="24"/>
        </w:rPr>
        <w:t>ACKNOWLEDGEMENTS:</w:t>
      </w:r>
      <w:r w:rsidR="005A0B0F" w:rsidRPr="005A0B0F">
        <w:rPr>
          <w:rFonts w:ascii="Times New Roman" w:hAnsi="Times New Roman" w:cs="Times New Roman"/>
          <w:sz w:val="24"/>
          <w:szCs w:val="24"/>
        </w:rPr>
        <w:t xml:space="preserve"> Stephanie Oakes, PT for her valuable contributions and influence in this study and Dr. Sango Otieno for statistical assistance.</w:t>
      </w: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3D6724" w:rsidRDefault="003D6724"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DC3151" w:rsidRDefault="003D6724" w:rsidP="00DC3151">
      <w:pPr>
        <w:spacing w:after="0" w:line="240" w:lineRule="auto"/>
        <w:rPr>
          <w:rFonts w:ascii="Times New Roman" w:hAnsi="Times New Roman" w:cs="Times New Roman"/>
          <w:sz w:val="24"/>
          <w:szCs w:val="24"/>
        </w:rPr>
      </w:pPr>
      <w:r w:rsidRPr="003D6724">
        <w:rPr>
          <w:rFonts w:ascii="Times New Roman" w:hAnsi="Times New Roman" w:cs="Times New Roman"/>
          <w:b/>
          <w:sz w:val="24"/>
          <w:szCs w:val="24"/>
        </w:rPr>
        <w:lastRenderedPageBreak/>
        <w:t>PREDICTIVE VALIDITY OF THE MOVE2PERFORM PROTOCOL IN COLLEGIATE SOCCER ATHLETES.</w:t>
      </w:r>
      <w:r>
        <w:rPr>
          <w:rFonts w:ascii="Times New Roman" w:hAnsi="Times New Roman" w:cs="Times New Roman"/>
          <w:b/>
          <w:sz w:val="24"/>
          <w:szCs w:val="24"/>
        </w:rPr>
        <w:t xml:space="preserve"> </w:t>
      </w:r>
      <w:r w:rsidR="00DC3151" w:rsidRPr="00DC3151">
        <w:rPr>
          <w:rFonts w:ascii="Times New Roman" w:hAnsi="Times New Roman" w:cs="Times New Roman"/>
          <w:sz w:val="24"/>
          <w:szCs w:val="24"/>
        </w:rPr>
        <w:t>Huegel</w:t>
      </w:r>
      <w:r>
        <w:rPr>
          <w:rFonts w:ascii="Times New Roman" w:hAnsi="Times New Roman" w:cs="Times New Roman"/>
          <w:sz w:val="24"/>
          <w:szCs w:val="24"/>
        </w:rPr>
        <w:t xml:space="preserve"> M, </w:t>
      </w:r>
      <w:r w:rsidR="00DC3151" w:rsidRPr="00DC3151">
        <w:rPr>
          <w:rFonts w:ascii="Times New Roman" w:hAnsi="Times New Roman" w:cs="Times New Roman"/>
          <w:sz w:val="24"/>
          <w:szCs w:val="24"/>
        </w:rPr>
        <w:t>Robinson</w:t>
      </w:r>
      <w:r>
        <w:rPr>
          <w:rFonts w:ascii="Times New Roman" w:hAnsi="Times New Roman" w:cs="Times New Roman"/>
          <w:sz w:val="24"/>
          <w:szCs w:val="24"/>
        </w:rPr>
        <w:t xml:space="preserve"> J, </w:t>
      </w:r>
      <w:r w:rsidR="00DC3151" w:rsidRPr="00DC3151">
        <w:rPr>
          <w:rFonts w:ascii="Times New Roman" w:hAnsi="Times New Roman" w:cs="Times New Roman"/>
          <w:sz w:val="24"/>
          <w:szCs w:val="24"/>
        </w:rPr>
        <w:t>Wise</w:t>
      </w:r>
      <w:r>
        <w:rPr>
          <w:rFonts w:ascii="Times New Roman" w:hAnsi="Times New Roman" w:cs="Times New Roman"/>
          <w:sz w:val="24"/>
          <w:szCs w:val="24"/>
        </w:rPr>
        <w:t xml:space="preserve"> C, Rose J; Grand Valley State University, Grand Rapids, MI.</w:t>
      </w:r>
    </w:p>
    <w:p w:rsidR="003D6724" w:rsidRPr="003D6724" w:rsidRDefault="003D6724" w:rsidP="00DC3151">
      <w:pPr>
        <w:spacing w:after="0" w:line="240" w:lineRule="auto"/>
        <w:rPr>
          <w:rFonts w:ascii="Times New Roman" w:hAnsi="Times New Roman" w:cs="Times New Roman"/>
          <w:b/>
          <w:sz w:val="24"/>
          <w:szCs w:val="24"/>
        </w:rPr>
      </w:pPr>
    </w:p>
    <w:p w:rsidR="00DC3151" w:rsidRDefault="006042AF" w:rsidP="00DC3151">
      <w:pPr>
        <w:spacing w:after="0" w:line="240" w:lineRule="auto"/>
        <w:rPr>
          <w:rFonts w:ascii="Times New Roman" w:hAnsi="Times New Roman" w:cs="Times New Roman"/>
          <w:sz w:val="24"/>
          <w:szCs w:val="24"/>
        </w:rPr>
      </w:pPr>
      <w:r w:rsidRPr="006042AF">
        <w:rPr>
          <w:rFonts w:ascii="Times New Roman" w:hAnsi="Times New Roman" w:cs="Times New Roman"/>
          <w:b/>
          <w:sz w:val="24"/>
          <w:szCs w:val="24"/>
        </w:rPr>
        <w:t>INTRODUCTION:</w:t>
      </w:r>
      <w:r w:rsidR="00DC3151" w:rsidRPr="00DC3151">
        <w:rPr>
          <w:rFonts w:ascii="Times New Roman" w:hAnsi="Times New Roman" w:cs="Times New Roman"/>
          <w:sz w:val="24"/>
          <w:szCs w:val="24"/>
        </w:rPr>
        <w:t xml:space="preserve"> Factors associated with increased injury risk in collegiate soccer athletes include prior history of injury, age, gender, and aberrant movement patterns.  Move2Perform is a software-based algorithm that incorporates athlete demographics, sport, injury history, and movement screening scores to g</w:t>
      </w:r>
      <w:r w:rsidR="006E6495">
        <w:rPr>
          <w:rFonts w:ascii="Times New Roman" w:hAnsi="Times New Roman" w:cs="Times New Roman"/>
          <w:sz w:val="24"/>
          <w:szCs w:val="24"/>
        </w:rPr>
        <w:t>enerate an injury risk profile of</w:t>
      </w:r>
      <w:r w:rsidR="00DC3151" w:rsidRPr="00DC3151">
        <w:rPr>
          <w:rFonts w:ascii="Times New Roman" w:hAnsi="Times New Roman" w:cs="Times New Roman"/>
          <w:sz w:val="24"/>
          <w:szCs w:val="24"/>
        </w:rPr>
        <w:t xml:space="preserve"> normal, slightly increased, moderately increased</w:t>
      </w:r>
      <w:r w:rsidR="006E6495">
        <w:rPr>
          <w:rFonts w:ascii="Times New Roman" w:hAnsi="Times New Roman" w:cs="Times New Roman"/>
          <w:sz w:val="24"/>
          <w:szCs w:val="24"/>
        </w:rPr>
        <w:t>,</w:t>
      </w:r>
      <w:r w:rsidR="00DC3151" w:rsidRPr="00DC3151">
        <w:rPr>
          <w:rFonts w:ascii="Times New Roman" w:hAnsi="Times New Roman" w:cs="Times New Roman"/>
          <w:sz w:val="24"/>
          <w:szCs w:val="24"/>
        </w:rPr>
        <w:t xml:space="preserve"> or substantially increased. </w:t>
      </w:r>
      <w:r w:rsidR="005F65AF">
        <w:rPr>
          <w:rFonts w:ascii="Times New Roman" w:hAnsi="Times New Roman" w:cs="Times New Roman"/>
          <w:sz w:val="24"/>
          <w:szCs w:val="24"/>
        </w:rPr>
        <w:t xml:space="preserve"> </w:t>
      </w:r>
      <w:r w:rsidR="00DC3151" w:rsidRPr="00DC3151">
        <w:rPr>
          <w:rFonts w:ascii="Times New Roman" w:hAnsi="Times New Roman" w:cs="Times New Roman"/>
          <w:sz w:val="24"/>
          <w:szCs w:val="24"/>
        </w:rPr>
        <w:t xml:space="preserve">Movement screening tests include the Functional Movement </w:t>
      </w:r>
      <w:proofErr w:type="spellStart"/>
      <w:r w:rsidR="00DC3151" w:rsidRPr="00DC3151">
        <w:rPr>
          <w:rFonts w:ascii="Times New Roman" w:hAnsi="Times New Roman" w:cs="Times New Roman"/>
          <w:sz w:val="24"/>
          <w:szCs w:val="24"/>
        </w:rPr>
        <w:t>ScreenTM</w:t>
      </w:r>
      <w:proofErr w:type="spellEnd"/>
      <w:r w:rsidR="00DC3151" w:rsidRPr="00DC3151">
        <w:rPr>
          <w:rFonts w:ascii="Times New Roman" w:hAnsi="Times New Roman" w:cs="Times New Roman"/>
          <w:sz w:val="24"/>
          <w:szCs w:val="24"/>
        </w:rPr>
        <w:t xml:space="preserve"> (FMS), Lower Quarter Y-Balance Test (</w:t>
      </w:r>
      <w:r>
        <w:rPr>
          <w:rFonts w:ascii="Times New Roman" w:hAnsi="Times New Roman" w:cs="Times New Roman"/>
          <w:sz w:val="24"/>
          <w:szCs w:val="24"/>
        </w:rPr>
        <w:t xml:space="preserve">YBT-LQ), and dynamic hop tests.  </w:t>
      </w:r>
      <w:r w:rsidR="00DC3151" w:rsidRPr="00DC3151">
        <w:rPr>
          <w:rFonts w:ascii="Times New Roman" w:hAnsi="Times New Roman" w:cs="Times New Roman"/>
          <w:sz w:val="24"/>
          <w:szCs w:val="24"/>
        </w:rPr>
        <w:t>The purpose of this study was to determine if the Move2Perfor</w:t>
      </w:r>
      <w:r w:rsidR="006E6495">
        <w:rPr>
          <w:rFonts w:ascii="Times New Roman" w:hAnsi="Times New Roman" w:cs="Times New Roman"/>
          <w:sz w:val="24"/>
          <w:szCs w:val="24"/>
        </w:rPr>
        <w:t>m software correctly categorizes</w:t>
      </w:r>
      <w:r w:rsidR="00DC3151" w:rsidRPr="00DC3151">
        <w:rPr>
          <w:rFonts w:ascii="Times New Roman" w:hAnsi="Times New Roman" w:cs="Times New Roman"/>
          <w:sz w:val="24"/>
          <w:szCs w:val="24"/>
        </w:rPr>
        <w:t xml:space="preserve"> athletes according to injury risk.</w:t>
      </w:r>
      <w:r w:rsidR="005F65AF">
        <w:rPr>
          <w:rFonts w:ascii="Times New Roman" w:hAnsi="Times New Roman" w:cs="Times New Roman"/>
          <w:sz w:val="24"/>
          <w:szCs w:val="24"/>
        </w:rPr>
        <w:t xml:space="preserve">  </w:t>
      </w:r>
      <w:r w:rsidR="005F65AF" w:rsidRPr="005F65AF">
        <w:rPr>
          <w:rFonts w:ascii="Times New Roman" w:hAnsi="Times New Roman" w:cs="Times New Roman"/>
          <w:b/>
          <w:sz w:val="24"/>
          <w:szCs w:val="24"/>
        </w:rPr>
        <w:t>METHODS:</w:t>
      </w:r>
      <w:r w:rsidR="005F65AF">
        <w:rPr>
          <w:rFonts w:ascii="Times New Roman" w:hAnsi="Times New Roman" w:cs="Times New Roman"/>
          <w:sz w:val="24"/>
          <w:szCs w:val="24"/>
        </w:rPr>
        <w:t xml:space="preserve">  This study was a</w:t>
      </w:r>
      <w:r w:rsidR="00DC3151" w:rsidRPr="00DC3151">
        <w:rPr>
          <w:rFonts w:ascii="Times New Roman" w:hAnsi="Times New Roman" w:cs="Times New Roman"/>
          <w:sz w:val="24"/>
          <w:szCs w:val="24"/>
        </w:rPr>
        <w:t xml:space="preserve"> prospective cohort study that followed collegiate athletes over the co</w:t>
      </w:r>
      <w:r w:rsidR="005F65AF">
        <w:rPr>
          <w:rFonts w:ascii="Times New Roman" w:hAnsi="Times New Roman" w:cs="Times New Roman"/>
          <w:sz w:val="24"/>
          <w:szCs w:val="24"/>
        </w:rPr>
        <w:t xml:space="preserve">urse of a single soccer season.  </w:t>
      </w:r>
      <w:r w:rsidR="00DC3151" w:rsidRPr="00DC3151">
        <w:rPr>
          <w:rFonts w:ascii="Times New Roman" w:hAnsi="Times New Roman" w:cs="Times New Roman"/>
          <w:sz w:val="24"/>
          <w:szCs w:val="24"/>
        </w:rPr>
        <w:t>Prior to the athletic season, 10 female soccer athletes were screened using the Move2Perform protocol.  Demographic data, previous history of injury, and performance on FMS, YBT-LQ</w:t>
      </w:r>
      <w:r w:rsidR="006E6495">
        <w:rPr>
          <w:rFonts w:ascii="Times New Roman" w:hAnsi="Times New Roman" w:cs="Times New Roman"/>
          <w:sz w:val="24"/>
          <w:szCs w:val="24"/>
        </w:rPr>
        <w:t>,</w:t>
      </w:r>
      <w:r w:rsidR="00DC3151" w:rsidRPr="00DC3151">
        <w:rPr>
          <w:rFonts w:ascii="Times New Roman" w:hAnsi="Times New Roman" w:cs="Times New Roman"/>
          <w:sz w:val="24"/>
          <w:szCs w:val="24"/>
        </w:rPr>
        <w:t xml:space="preserve"> and hop tests were entered into the Move2</w:t>
      </w:r>
      <w:r w:rsidR="006E6495">
        <w:rPr>
          <w:rFonts w:ascii="Times New Roman" w:hAnsi="Times New Roman" w:cs="Times New Roman"/>
          <w:sz w:val="24"/>
          <w:szCs w:val="24"/>
        </w:rPr>
        <w:t xml:space="preserve">Perform software </w:t>
      </w:r>
      <w:r w:rsidR="00DC3151" w:rsidRPr="00DC3151">
        <w:rPr>
          <w:rFonts w:ascii="Times New Roman" w:hAnsi="Times New Roman" w:cs="Times New Roman"/>
          <w:sz w:val="24"/>
          <w:szCs w:val="24"/>
        </w:rPr>
        <w:t xml:space="preserve">which produced an injury risk classification for each athlete.  Classifications were dichotomized into two categories, Low Risk (normal/slightly increased) and High Risk (moderately/substantially increased).  The team athletic trainer tracked </w:t>
      </w:r>
      <w:proofErr w:type="spellStart"/>
      <w:r w:rsidR="00DC3151" w:rsidRPr="00DC3151">
        <w:rPr>
          <w:rFonts w:ascii="Times New Roman" w:hAnsi="Times New Roman" w:cs="Times New Roman"/>
          <w:sz w:val="24"/>
          <w:szCs w:val="24"/>
        </w:rPr>
        <w:t>neuromusculoskeletal</w:t>
      </w:r>
      <w:proofErr w:type="spellEnd"/>
      <w:r w:rsidR="00DC3151" w:rsidRPr="00DC3151">
        <w:rPr>
          <w:rFonts w:ascii="Times New Roman" w:hAnsi="Times New Roman" w:cs="Times New Roman"/>
          <w:sz w:val="24"/>
          <w:szCs w:val="24"/>
        </w:rPr>
        <w:t xml:space="preserve"> (NMS) injuries of the lumbar spine and lower extremities over the course of the athletic season.  A 2x2 contingency table was created using injury data (injured/not injured) and dichotomized risk classification (Low Risk/High Risk).  Data was analyzed using </w:t>
      </w:r>
      <w:r w:rsidR="006E6495">
        <w:rPr>
          <w:rFonts w:ascii="Times New Roman" w:hAnsi="Times New Roman" w:cs="Times New Roman"/>
          <w:sz w:val="24"/>
          <w:szCs w:val="24"/>
        </w:rPr>
        <w:t xml:space="preserve">the </w:t>
      </w:r>
      <w:r w:rsidR="00DC3151" w:rsidRPr="00DC3151">
        <w:rPr>
          <w:rFonts w:ascii="Times New Roman" w:hAnsi="Times New Roman" w:cs="Times New Roman"/>
          <w:sz w:val="24"/>
          <w:szCs w:val="24"/>
        </w:rPr>
        <w:t>Chi Squa</w:t>
      </w:r>
      <w:r w:rsidR="005F65AF">
        <w:rPr>
          <w:rFonts w:ascii="Times New Roman" w:hAnsi="Times New Roman" w:cs="Times New Roman"/>
          <w:sz w:val="24"/>
          <w:szCs w:val="24"/>
        </w:rPr>
        <w:t xml:space="preserve">re procedure.  </w:t>
      </w:r>
      <w:r w:rsidR="005F65AF" w:rsidRPr="005F65AF">
        <w:rPr>
          <w:rFonts w:ascii="Times New Roman" w:hAnsi="Times New Roman" w:cs="Times New Roman"/>
          <w:b/>
          <w:sz w:val="24"/>
          <w:szCs w:val="24"/>
        </w:rPr>
        <w:t>RESULTS:</w:t>
      </w:r>
      <w:r w:rsidR="00DC3151" w:rsidRPr="00DC3151">
        <w:rPr>
          <w:rFonts w:ascii="Times New Roman" w:hAnsi="Times New Roman" w:cs="Times New Roman"/>
          <w:sz w:val="24"/>
          <w:szCs w:val="24"/>
        </w:rPr>
        <w:t xml:space="preserve"> According to the Move2Perform software, subjects were categorized as </w:t>
      </w:r>
      <w:r w:rsidR="00027937">
        <w:rPr>
          <w:rFonts w:ascii="Times New Roman" w:hAnsi="Times New Roman" w:cs="Times New Roman"/>
          <w:sz w:val="24"/>
          <w:szCs w:val="24"/>
        </w:rPr>
        <w:t xml:space="preserve">at a </w:t>
      </w:r>
      <w:r w:rsidR="00DC3151" w:rsidRPr="00DC3151">
        <w:rPr>
          <w:rFonts w:ascii="Times New Roman" w:hAnsi="Times New Roman" w:cs="Times New Roman"/>
          <w:sz w:val="24"/>
          <w:szCs w:val="24"/>
        </w:rPr>
        <w:t>moderately increased (n=</w:t>
      </w:r>
      <w:r w:rsidR="00771A6D">
        <w:rPr>
          <w:rFonts w:ascii="Times New Roman" w:hAnsi="Times New Roman" w:cs="Times New Roman"/>
          <w:sz w:val="24"/>
          <w:szCs w:val="24"/>
        </w:rPr>
        <w:t>7) and</w:t>
      </w:r>
      <w:r w:rsidR="00027937">
        <w:rPr>
          <w:rFonts w:ascii="Times New Roman" w:hAnsi="Times New Roman" w:cs="Times New Roman"/>
          <w:sz w:val="24"/>
          <w:szCs w:val="24"/>
        </w:rPr>
        <w:t xml:space="preserve"> a</w:t>
      </w:r>
      <w:r w:rsidR="00771A6D">
        <w:rPr>
          <w:rFonts w:ascii="Times New Roman" w:hAnsi="Times New Roman" w:cs="Times New Roman"/>
          <w:sz w:val="24"/>
          <w:szCs w:val="24"/>
        </w:rPr>
        <w:t xml:space="preserve"> substantially increased </w:t>
      </w:r>
      <w:r w:rsidR="00DC3151" w:rsidRPr="00DC3151">
        <w:rPr>
          <w:rFonts w:ascii="Times New Roman" w:hAnsi="Times New Roman" w:cs="Times New Roman"/>
          <w:sz w:val="24"/>
          <w:szCs w:val="24"/>
        </w:rPr>
        <w:t xml:space="preserve">(n=3) risk for injury. </w:t>
      </w:r>
      <w:r w:rsidR="005F65AF">
        <w:rPr>
          <w:rFonts w:ascii="Times New Roman" w:hAnsi="Times New Roman" w:cs="Times New Roman"/>
          <w:sz w:val="24"/>
          <w:szCs w:val="24"/>
        </w:rPr>
        <w:t xml:space="preserve"> </w:t>
      </w:r>
      <w:r w:rsidR="00DC3151" w:rsidRPr="00DC3151">
        <w:rPr>
          <w:rFonts w:ascii="Times New Roman" w:hAnsi="Times New Roman" w:cs="Times New Roman"/>
          <w:sz w:val="24"/>
          <w:szCs w:val="24"/>
        </w:rPr>
        <w:t>This placed all</w:t>
      </w:r>
      <w:r w:rsidR="00027937">
        <w:rPr>
          <w:rFonts w:ascii="Times New Roman" w:hAnsi="Times New Roman" w:cs="Times New Roman"/>
          <w:sz w:val="24"/>
          <w:szCs w:val="24"/>
        </w:rPr>
        <w:t xml:space="preserve"> of the</w:t>
      </w:r>
      <w:r w:rsidR="00DC3151" w:rsidRPr="00DC3151">
        <w:rPr>
          <w:rFonts w:ascii="Times New Roman" w:hAnsi="Times New Roman" w:cs="Times New Roman"/>
          <w:sz w:val="24"/>
          <w:szCs w:val="24"/>
        </w:rPr>
        <w:t xml:space="preserve"> athletes into the dichotomized High Risk category.  Two athletes sustained a NMS injury.  After correcting for cells with &lt; 5, Chi Square analysis found no difference in injury rates between risk categories.  The high risk group was found to have a relative risk of injury of 0.667 (95% CI: 0.051 to 8.6).  </w:t>
      </w:r>
      <w:r w:rsidR="00027937">
        <w:rPr>
          <w:rFonts w:ascii="Times New Roman" w:hAnsi="Times New Roman" w:cs="Times New Roman"/>
          <w:sz w:val="24"/>
          <w:szCs w:val="24"/>
        </w:rPr>
        <w:t xml:space="preserve">           </w:t>
      </w:r>
      <w:proofErr w:type="spellStart"/>
      <w:r w:rsidR="00DC3151" w:rsidRPr="00DC3151">
        <w:rPr>
          <w:rFonts w:ascii="Times New Roman" w:hAnsi="Times New Roman" w:cs="Times New Roman"/>
          <w:sz w:val="24"/>
          <w:szCs w:val="24"/>
        </w:rPr>
        <w:t>Clopper</w:t>
      </w:r>
      <w:proofErr w:type="spellEnd"/>
      <w:r w:rsidR="00DC3151" w:rsidRPr="00DC3151">
        <w:rPr>
          <w:rFonts w:ascii="Times New Roman" w:hAnsi="Times New Roman" w:cs="Times New Roman"/>
          <w:sz w:val="24"/>
          <w:szCs w:val="24"/>
        </w:rPr>
        <w:t>-Pearson confidence interval (95% CI: 0.025-0.556) found that the</w:t>
      </w:r>
      <w:r w:rsidR="00027937">
        <w:rPr>
          <w:rFonts w:ascii="Times New Roman" w:hAnsi="Times New Roman" w:cs="Times New Roman"/>
          <w:sz w:val="24"/>
          <w:szCs w:val="24"/>
        </w:rPr>
        <w:t xml:space="preserve"> algorithm accurately identified</w:t>
      </w:r>
      <w:r w:rsidR="00DC3151" w:rsidRPr="00DC3151">
        <w:rPr>
          <w:rFonts w:ascii="Times New Roman" w:hAnsi="Times New Roman" w:cs="Times New Roman"/>
          <w:sz w:val="24"/>
          <w:szCs w:val="24"/>
        </w:rPr>
        <w:t xml:space="preserve"> indi</w:t>
      </w:r>
      <w:r w:rsidR="005F65AF">
        <w:rPr>
          <w:rFonts w:ascii="Times New Roman" w:hAnsi="Times New Roman" w:cs="Times New Roman"/>
          <w:sz w:val="24"/>
          <w:szCs w:val="24"/>
        </w:rPr>
        <w:t xml:space="preserve">viduals 2.5%-55.6% of the time.  </w:t>
      </w:r>
      <w:r w:rsidR="005F65AF" w:rsidRPr="005F65AF">
        <w:rPr>
          <w:rFonts w:ascii="Times New Roman" w:hAnsi="Times New Roman" w:cs="Times New Roman"/>
          <w:b/>
          <w:sz w:val="24"/>
          <w:szCs w:val="24"/>
        </w:rPr>
        <w:t>DISCUSSION:</w:t>
      </w:r>
      <w:r w:rsidR="00DC3151" w:rsidRPr="00DC3151">
        <w:rPr>
          <w:rFonts w:ascii="Times New Roman" w:hAnsi="Times New Roman" w:cs="Times New Roman"/>
          <w:sz w:val="24"/>
          <w:szCs w:val="24"/>
        </w:rPr>
        <w:t xml:space="preserve"> This prospective cohort study had low participation. </w:t>
      </w:r>
      <w:r w:rsidR="005F65AF">
        <w:rPr>
          <w:rFonts w:ascii="Times New Roman" w:hAnsi="Times New Roman" w:cs="Times New Roman"/>
          <w:sz w:val="24"/>
          <w:szCs w:val="24"/>
        </w:rPr>
        <w:t xml:space="preserve"> </w:t>
      </w:r>
      <w:r w:rsidR="00DC3151" w:rsidRPr="00DC3151">
        <w:rPr>
          <w:rFonts w:ascii="Times New Roman" w:hAnsi="Times New Roman" w:cs="Times New Roman"/>
          <w:sz w:val="24"/>
          <w:szCs w:val="24"/>
        </w:rPr>
        <w:t xml:space="preserve">No subjects were classified as low risk causing difficulties for statistical analysis. </w:t>
      </w:r>
      <w:r w:rsidR="005F65AF">
        <w:rPr>
          <w:rFonts w:ascii="Times New Roman" w:hAnsi="Times New Roman" w:cs="Times New Roman"/>
          <w:sz w:val="24"/>
          <w:szCs w:val="24"/>
        </w:rPr>
        <w:t xml:space="preserve"> </w:t>
      </w:r>
      <w:r w:rsidR="00027937">
        <w:rPr>
          <w:rFonts w:ascii="Times New Roman" w:hAnsi="Times New Roman" w:cs="Times New Roman"/>
          <w:sz w:val="24"/>
          <w:szCs w:val="24"/>
        </w:rPr>
        <w:t>The o</w:t>
      </w:r>
      <w:r w:rsidR="00DC3151" w:rsidRPr="00DC3151">
        <w:rPr>
          <w:rFonts w:ascii="Times New Roman" w:hAnsi="Times New Roman" w:cs="Times New Roman"/>
          <w:sz w:val="24"/>
          <w:szCs w:val="24"/>
        </w:rPr>
        <w:t>perational definition of injury was too specific and reduced the number of</w:t>
      </w:r>
      <w:r w:rsidR="005F65AF">
        <w:rPr>
          <w:rFonts w:ascii="Times New Roman" w:hAnsi="Times New Roman" w:cs="Times New Roman"/>
          <w:sz w:val="24"/>
          <w:szCs w:val="24"/>
        </w:rPr>
        <w:t xml:space="preserve"> injuries included in the data.  </w:t>
      </w:r>
      <w:r w:rsidR="005F65AF" w:rsidRPr="005F65AF">
        <w:rPr>
          <w:rFonts w:ascii="Times New Roman" w:hAnsi="Times New Roman" w:cs="Times New Roman"/>
          <w:b/>
          <w:sz w:val="24"/>
          <w:szCs w:val="24"/>
        </w:rPr>
        <w:t>CONCLUSIONS:</w:t>
      </w:r>
      <w:r w:rsidR="00DC3151" w:rsidRPr="00DC3151">
        <w:rPr>
          <w:rFonts w:ascii="Times New Roman" w:hAnsi="Times New Roman" w:cs="Times New Roman"/>
          <w:sz w:val="24"/>
          <w:szCs w:val="24"/>
        </w:rPr>
        <w:t xml:space="preserve"> This pilot study provides a structure for future research.  The results of this study neither support nor refute the predictive validity of the Move2Perform algorithm. </w:t>
      </w:r>
      <w:r w:rsidR="005F65AF">
        <w:rPr>
          <w:rFonts w:ascii="Times New Roman" w:hAnsi="Times New Roman" w:cs="Times New Roman"/>
          <w:sz w:val="24"/>
          <w:szCs w:val="24"/>
        </w:rPr>
        <w:t xml:space="preserve"> </w:t>
      </w:r>
      <w:r w:rsidR="00DC3151" w:rsidRPr="00DC3151">
        <w:rPr>
          <w:rFonts w:ascii="Times New Roman" w:hAnsi="Times New Roman" w:cs="Times New Roman"/>
          <w:sz w:val="24"/>
          <w:szCs w:val="24"/>
        </w:rPr>
        <w:t>The researchers are unable to recommend this tool as a predictor of injury risk based on limited research at this time.</w:t>
      </w:r>
    </w:p>
    <w:p w:rsidR="00DC3151" w:rsidRDefault="00DC3151" w:rsidP="005A0B0F">
      <w:pPr>
        <w:spacing w:after="0" w:line="240" w:lineRule="auto"/>
        <w:rPr>
          <w:rFonts w:ascii="Times New Roman" w:hAnsi="Times New Roman" w:cs="Times New Roman"/>
          <w:sz w:val="24"/>
          <w:szCs w:val="24"/>
        </w:rPr>
      </w:pPr>
    </w:p>
    <w:p w:rsidR="00DC3151" w:rsidRDefault="00DC3151" w:rsidP="005A0B0F">
      <w:pPr>
        <w:spacing w:after="0" w:line="240" w:lineRule="auto"/>
        <w:rPr>
          <w:rFonts w:ascii="Times New Roman" w:hAnsi="Times New Roman" w:cs="Times New Roman"/>
          <w:sz w:val="24"/>
          <w:szCs w:val="24"/>
        </w:rPr>
      </w:pPr>
    </w:p>
    <w:p w:rsidR="00DC3151" w:rsidRDefault="00DC3151" w:rsidP="005A0B0F">
      <w:pPr>
        <w:spacing w:after="0" w:line="240" w:lineRule="auto"/>
        <w:rPr>
          <w:rFonts w:ascii="Times New Roman" w:hAnsi="Times New Roman" w:cs="Times New Roman"/>
          <w:sz w:val="24"/>
          <w:szCs w:val="24"/>
        </w:rPr>
      </w:pPr>
    </w:p>
    <w:p w:rsidR="00DC3151" w:rsidRDefault="00DC3151" w:rsidP="005A0B0F">
      <w:pPr>
        <w:spacing w:after="0" w:line="240" w:lineRule="auto"/>
        <w:rPr>
          <w:rFonts w:ascii="Times New Roman" w:hAnsi="Times New Roman" w:cs="Times New Roman"/>
          <w:sz w:val="24"/>
          <w:szCs w:val="24"/>
        </w:rPr>
      </w:pPr>
    </w:p>
    <w:p w:rsidR="00DC3151" w:rsidRDefault="00DC3151" w:rsidP="005A0B0F">
      <w:pPr>
        <w:spacing w:after="0" w:line="240" w:lineRule="auto"/>
        <w:rPr>
          <w:rFonts w:ascii="Times New Roman" w:hAnsi="Times New Roman" w:cs="Times New Roman"/>
          <w:sz w:val="24"/>
          <w:szCs w:val="24"/>
        </w:rPr>
      </w:pPr>
    </w:p>
    <w:p w:rsidR="00DC3151" w:rsidRDefault="00DC3151" w:rsidP="005A0B0F">
      <w:pPr>
        <w:spacing w:after="0" w:line="240" w:lineRule="auto"/>
        <w:rPr>
          <w:rFonts w:ascii="Times New Roman" w:hAnsi="Times New Roman" w:cs="Times New Roman"/>
          <w:sz w:val="24"/>
          <w:szCs w:val="24"/>
        </w:rPr>
      </w:pPr>
    </w:p>
    <w:p w:rsidR="00DC3151" w:rsidRDefault="00DC3151" w:rsidP="005A0B0F">
      <w:pPr>
        <w:spacing w:after="0" w:line="240" w:lineRule="auto"/>
        <w:rPr>
          <w:rFonts w:ascii="Times New Roman" w:hAnsi="Times New Roman" w:cs="Times New Roman"/>
          <w:sz w:val="24"/>
          <w:szCs w:val="24"/>
        </w:rPr>
      </w:pPr>
    </w:p>
    <w:p w:rsidR="005F65AF" w:rsidRDefault="005F65AF" w:rsidP="005A0B0F">
      <w:pPr>
        <w:spacing w:after="0" w:line="240" w:lineRule="auto"/>
        <w:rPr>
          <w:rFonts w:ascii="Times New Roman" w:hAnsi="Times New Roman" w:cs="Times New Roman"/>
          <w:sz w:val="24"/>
          <w:szCs w:val="24"/>
        </w:rPr>
      </w:pPr>
    </w:p>
    <w:p w:rsidR="005F65AF" w:rsidRDefault="005F65AF" w:rsidP="005A0B0F">
      <w:pPr>
        <w:spacing w:after="0" w:line="240" w:lineRule="auto"/>
        <w:rPr>
          <w:rFonts w:ascii="Times New Roman" w:hAnsi="Times New Roman" w:cs="Times New Roman"/>
          <w:sz w:val="24"/>
          <w:szCs w:val="24"/>
        </w:rPr>
      </w:pPr>
    </w:p>
    <w:p w:rsidR="00DC3151" w:rsidRDefault="00DC3151" w:rsidP="005A0B0F">
      <w:pPr>
        <w:spacing w:after="0" w:line="240" w:lineRule="auto"/>
        <w:rPr>
          <w:rFonts w:ascii="Times New Roman" w:hAnsi="Times New Roman" w:cs="Times New Roman"/>
          <w:sz w:val="24"/>
          <w:szCs w:val="24"/>
        </w:rPr>
      </w:pPr>
    </w:p>
    <w:p w:rsidR="005A0B0F" w:rsidRPr="005A0B0F" w:rsidRDefault="003D6724" w:rsidP="005A0B0F">
      <w:pPr>
        <w:spacing w:after="0" w:line="240" w:lineRule="auto"/>
        <w:rPr>
          <w:rFonts w:ascii="Times New Roman" w:hAnsi="Times New Roman" w:cs="Times New Roman"/>
          <w:sz w:val="24"/>
          <w:szCs w:val="24"/>
        </w:rPr>
      </w:pPr>
      <w:r w:rsidRPr="003D6724">
        <w:rPr>
          <w:rFonts w:ascii="Times New Roman" w:hAnsi="Times New Roman" w:cs="Times New Roman"/>
          <w:b/>
          <w:sz w:val="24"/>
          <w:szCs w:val="24"/>
        </w:rPr>
        <w:lastRenderedPageBreak/>
        <w:t>DIVISION I FEMALE CROSS COUNTRY RUNNERS PERCEPTION OF EATING BEHAVIORS AND ATTTITUDES TOWARDS HEALTH: A PILOT STUDY</w:t>
      </w:r>
      <w:r w:rsidR="005A0B0F" w:rsidRPr="003D6724">
        <w:rPr>
          <w:rFonts w:ascii="Times New Roman" w:hAnsi="Times New Roman" w:cs="Times New Roman"/>
          <w:b/>
          <w:sz w:val="24"/>
          <w:szCs w:val="24"/>
        </w:rPr>
        <w:t>.</w:t>
      </w:r>
      <w:r w:rsidR="005A0B0F" w:rsidRPr="005A0B0F">
        <w:rPr>
          <w:rFonts w:ascii="Times New Roman" w:hAnsi="Times New Roman" w:cs="Times New Roman"/>
          <w:sz w:val="24"/>
          <w:szCs w:val="24"/>
        </w:rPr>
        <w:t xml:space="preserve"> </w:t>
      </w:r>
      <w:r>
        <w:rPr>
          <w:rFonts w:ascii="Times New Roman" w:hAnsi="Times New Roman" w:cs="Times New Roman"/>
          <w:sz w:val="24"/>
          <w:szCs w:val="24"/>
        </w:rPr>
        <w:t xml:space="preserve">Morse L, Thomas M, </w:t>
      </w:r>
      <w:r w:rsidR="005A0B0F" w:rsidRPr="005A0B0F">
        <w:rPr>
          <w:rFonts w:ascii="Times New Roman" w:hAnsi="Times New Roman" w:cs="Times New Roman"/>
          <w:sz w:val="24"/>
          <w:szCs w:val="24"/>
        </w:rPr>
        <w:t>Waggoner S, Stickler L; Grand Valley State University, Grand Rapids, MI.</w:t>
      </w:r>
    </w:p>
    <w:p w:rsidR="005A0B0F" w:rsidRPr="005A0B0F" w:rsidRDefault="005A0B0F" w:rsidP="005A0B0F">
      <w:pPr>
        <w:spacing w:after="0" w:line="240" w:lineRule="auto"/>
        <w:rPr>
          <w:rFonts w:ascii="Times New Roman" w:hAnsi="Times New Roman" w:cs="Times New Roman"/>
          <w:sz w:val="24"/>
          <w:szCs w:val="24"/>
        </w:rPr>
      </w:pPr>
    </w:p>
    <w:p w:rsidR="005A0B0F" w:rsidRDefault="005A0B0F" w:rsidP="005A0B0F">
      <w:pPr>
        <w:spacing w:after="0" w:line="240" w:lineRule="auto"/>
        <w:rPr>
          <w:rFonts w:ascii="Times New Roman" w:hAnsi="Times New Roman" w:cs="Times New Roman"/>
          <w:b/>
          <w:sz w:val="24"/>
          <w:szCs w:val="24"/>
        </w:rPr>
      </w:pPr>
      <w:r w:rsidRPr="00DC081B">
        <w:rPr>
          <w:rFonts w:ascii="Times New Roman" w:hAnsi="Times New Roman" w:cs="Times New Roman"/>
          <w:b/>
          <w:sz w:val="24"/>
          <w:szCs w:val="24"/>
        </w:rPr>
        <w:t>INTRODUCTION:</w:t>
      </w:r>
      <w:r w:rsidRPr="005A0B0F">
        <w:rPr>
          <w:rFonts w:ascii="Times New Roman" w:hAnsi="Times New Roman" w:cs="Times New Roman"/>
          <w:sz w:val="24"/>
          <w:szCs w:val="24"/>
        </w:rPr>
        <w:t xml:space="preserve"> The Female Athlete Triad (Triad), composed of low energy availability (EA), menstrual dysfunction, and low bone mineral density (BMD), is a complex condition that can affect an athlete both physically and psychologically. </w:t>
      </w:r>
      <w:r w:rsidR="00DC081B">
        <w:rPr>
          <w:rFonts w:ascii="Times New Roman" w:hAnsi="Times New Roman" w:cs="Times New Roman"/>
          <w:sz w:val="24"/>
          <w:szCs w:val="24"/>
        </w:rPr>
        <w:t xml:space="preserve"> </w:t>
      </w:r>
      <w:r w:rsidRPr="005A0B0F">
        <w:rPr>
          <w:rFonts w:ascii="Times New Roman" w:hAnsi="Times New Roman" w:cs="Times New Roman"/>
          <w:sz w:val="24"/>
          <w:szCs w:val="24"/>
        </w:rPr>
        <w:t>Low energy availability is thought to be at the cornerstone of the Tr</w:t>
      </w:r>
      <w:r w:rsidR="00E27D9D">
        <w:rPr>
          <w:rFonts w:ascii="Times New Roman" w:hAnsi="Times New Roman" w:cs="Times New Roman"/>
          <w:sz w:val="24"/>
          <w:szCs w:val="24"/>
        </w:rPr>
        <w:t>iad.  H</w:t>
      </w:r>
      <w:r w:rsidRPr="005A0B0F">
        <w:rPr>
          <w:rFonts w:ascii="Times New Roman" w:hAnsi="Times New Roman" w:cs="Times New Roman"/>
          <w:sz w:val="24"/>
          <w:szCs w:val="24"/>
        </w:rPr>
        <w:t xml:space="preserve">owever, the factors that may impact athletes’ eating behaviors are complex and not well understood. </w:t>
      </w:r>
      <w:r w:rsidR="00DC081B">
        <w:rPr>
          <w:rFonts w:ascii="Times New Roman" w:hAnsi="Times New Roman" w:cs="Times New Roman"/>
          <w:sz w:val="24"/>
          <w:szCs w:val="24"/>
        </w:rPr>
        <w:t xml:space="preserve"> </w:t>
      </w:r>
      <w:r w:rsidRPr="005A0B0F">
        <w:rPr>
          <w:rFonts w:ascii="Times New Roman" w:hAnsi="Times New Roman" w:cs="Times New Roman"/>
          <w:sz w:val="24"/>
          <w:szCs w:val="24"/>
        </w:rPr>
        <w:t xml:space="preserve">Thus, the purpose of this qualitative study was to explore the perspectives of female collegiate cross country runners from Division I schools on eating behaviors and attitudes toward health.  </w:t>
      </w:r>
      <w:r w:rsidRPr="00DC081B">
        <w:rPr>
          <w:rFonts w:ascii="Times New Roman" w:hAnsi="Times New Roman" w:cs="Times New Roman"/>
          <w:b/>
          <w:sz w:val="24"/>
          <w:szCs w:val="24"/>
        </w:rPr>
        <w:t>METHODS:</w:t>
      </w:r>
      <w:r w:rsidRPr="005A0B0F">
        <w:rPr>
          <w:rFonts w:ascii="Times New Roman" w:hAnsi="Times New Roman" w:cs="Times New Roman"/>
          <w:sz w:val="24"/>
          <w:szCs w:val="24"/>
        </w:rPr>
        <w:t xml:space="preserve"> </w:t>
      </w:r>
      <w:proofErr w:type="spellStart"/>
      <w:r w:rsidRPr="005A0B0F">
        <w:rPr>
          <w:rFonts w:ascii="Times New Roman" w:hAnsi="Times New Roman" w:cs="Times New Roman"/>
          <w:sz w:val="24"/>
          <w:szCs w:val="24"/>
        </w:rPr>
        <w:t>Phenomenologic</w:t>
      </w:r>
      <w:proofErr w:type="spellEnd"/>
      <w:r w:rsidRPr="005A0B0F">
        <w:rPr>
          <w:rFonts w:ascii="Times New Roman" w:hAnsi="Times New Roman" w:cs="Times New Roman"/>
          <w:sz w:val="24"/>
          <w:szCs w:val="24"/>
        </w:rPr>
        <w:t xml:space="preserve"> qualitative research methods were used in this study.  Six NCAA Division I female c</w:t>
      </w:r>
      <w:r w:rsidR="00DF3B5A">
        <w:rPr>
          <w:rFonts w:ascii="Times New Roman" w:hAnsi="Times New Roman" w:cs="Times New Roman"/>
          <w:sz w:val="24"/>
          <w:szCs w:val="24"/>
        </w:rPr>
        <w:t>ollegiate cross country runners</w:t>
      </w:r>
      <w:r w:rsidRPr="005A0B0F">
        <w:rPr>
          <w:rFonts w:ascii="Times New Roman" w:hAnsi="Times New Roman" w:cs="Times New Roman"/>
          <w:sz w:val="24"/>
          <w:szCs w:val="24"/>
        </w:rPr>
        <w:t xml:space="preserve"> </w:t>
      </w:r>
      <w:r w:rsidR="00DF3B5A">
        <w:rPr>
          <w:rFonts w:ascii="Times New Roman" w:hAnsi="Times New Roman" w:cs="Times New Roman"/>
          <w:sz w:val="24"/>
          <w:szCs w:val="24"/>
        </w:rPr>
        <w:t>(ages 18 to 20),</w:t>
      </w:r>
      <w:r w:rsidRPr="005A0B0F">
        <w:rPr>
          <w:rFonts w:ascii="Times New Roman" w:hAnsi="Times New Roman" w:cs="Times New Roman"/>
          <w:sz w:val="24"/>
          <w:szCs w:val="24"/>
        </w:rPr>
        <w:t xml:space="preserve"> all attending the same university</w:t>
      </w:r>
      <w:r w:rsidR="00DF3B5A">
        <w:rPr>
          <w:rFonts w:ascii="Times New Roman" w:hAnsi="Times New Roman" w:cs="Times New Roman"/>
          <w:sz w:val="24"/>
          <w:szCs w:val="24"/>
        </w:rPr>
        <w:t>,</w:t>
      </w:r>
      <w:r w:rsidRPr="005A0B0F">
        <w:rPr>
          <w:rFonts w:ascii="Times New Roman" w:hAnsi="Times New Roman" w:cs="Times New Roman"/>
          <w:sz w:val="24"/>
          <w:szCs w:val="24"/>
        </w:rPr>
        <w:t xml:space="preserve"> participated in the interviews. </w:t>
      </w:r>
      <w:r w:rsidR="00DC081B">
        <w:rPr>
          <w:rFonts w:ascii="Times New Roman" w:hAnsi="Times New Roman" w:cs="Times New Roman"/>
          <w:sz w:val="24"/>
          <w:szCs w:val="24"/>
        </w:rPr>
        <w:t xml:space="preserve"> </w:t>
      </w:r>
      <w:r w:rsidRPr="005A0B0F">
        <w:rPr>
          <w:rFonts w:ascii="Times New Roman" w:hAnsi="Times New Roman" w:cs="Times New Roman"/>
          <w:sz w:val="24"/>
          <w:szCs w:val="24"/>
        </w:rPr>
        <w:t xml:space="preserve">All </w:t>
      </w:r>
      <w:r w:rsidR="00E27D9D">
        <w:rPr>
          <w:rFonts w:ascii="Times New Roman" w:hAnsi="Times New Roman" w:cs="Times New Roman"/>
          <w:sz w:val="24"/>
          <w:szCs w:val="24"/>
        </w:rPr>
        <w:t xml:space="preserve">of the </w:t>
      </w:r>
      <w:r w:rsidRPr="005A0B0F">
        <w:rPr>
          <w:rFonts w:ascii="Times New Roman" w:hAnsi="Times New Roman" w:cs="Times New Roman"/>
          <w:sz w:val="24"/>
          <w:szCs w:val="24"/>
        </w:rPr>
        <w:t xml:space="preserve">interviews were conducted individually and consisted of a semi-structured format with a flexible guide of open-ended questions. </w:t>
      </w:r>
      <w:r w:rsidR="00DC081B">
        <w:rPr>
          <w:rFonts w:ascii="Times New Roman" w:hAnsi="Times New Roman" w:cs="Times New Roman"/>
          <w:sz w:val="24"/>
          <w:szCs w:val="24"/>
        </w:rPr>
        <w:t xml:space="preserve"> </w:t>
      </w:r>
      <w:r w:rsidR="00E27D9D">
        <w:rPr>
          <w:rFonts w:ascii="Times New Roman" w:hAnsi="Times New Roman" w:cs="Times New Roman"/>
          <w:sz w:val="24"/>
          <w:szCs w:val="24"/>
        </w:rPr>
        <w:t xml:space="preserve">Each interview was recorded </w:t>
      </w:r>
      <w:r w:rsidRPr="005A0B0F">
        <w:rPr>
          <w:rFonts w:ascii="Times New Roman" w:hAnsi="Times New Roman" w:cs="Times New Roman"/>
          <w:sz w:val="24"/>
          <w:szCs w:val="24"/>
        </w:rPr>
        <w:t xml:space="preserve">and later transcribed. </w:t>
      </w:r>
      <w:r w:rsidR="00DC081B">
        <w:rPr>
          <w:rFonts w:ascii="Times New Roman" w:hAnsi="Times New Roman" w:cs="Times New Roman"/>
          <w:sz w:val="24"/>
          <w:szCs w:val="24"/>
        </w:rPr>
        <w:t xml:space="preserve"> </w:t>
      </w:r>
      <w:r w:rsidRPr="005A0B0F">
        <w:rPr>
          <w:rFonts w:ascii="Times New Roman" w:hAnsi="Times New Roman" w:cs="Times New Roman"/>
          <w:sz w:val="24"/>
          <w:szCs w:val="24"/>
        </w:rPr>
        <w:t xml:space="preserve">Three researchers individually coded </w:t>
      </w:r>
      <w:r w:rsidR="00E27D9D">
        <w:rPr>
          <w:rFonts w:ascii="Times New Roman" w:hAnsi="Times New Roman" w:cs="Times New Roman"/>
          <w:sz w:val="24"/>
          <w:szCs w:val="24"/>
        </w:rPr>
        <w:t xml:space="preserve">and developed themes/subthemes </w:t>
      </w:r>
      <w:r w:rsidRPr="005A0B0F">
        <w:rPr>
          <w:rFonts w:ascii="Times New Roman" w:hAnsi="Times New Roman" w:cs="Times New Roman"/>
          <w:sz w:val="24"/>
          <w:szCs w:val="24"/>
        </w:rPr>
        <w:t xml:space="preserve">and then collaborated as a team to negotiate a set of themes/subthemes. </w:t>
      </w:r>
      <w:r w:rsidR="00DC081B">
        <w:rPr>
          <w:rFonts w:ascii="Times New Roman" w:hAnsi="Times New Roman" w:cs="Times New Roman"/>
          <w:sz w:val="24"/>
          <w:szCs w:val="24"/>
        </w:rPr>
        <w:t xml:space="preserve"> </w:t>
      </w:r>
      <w:r w:rsidRPr="00DC081B">
        <w:rPr>
          <w:rFonts w:ascii="Times New Roman" w:hAnsi="Times New Roman" w:cs="Times New Roman"/>
          <w:b/>
          <w:sz w:val="24"/>
          <w:szCs w:val="24"/>
        </w:rPr>
        <w:t>RESULTS:</w:t>
      </w:r>
      <w:r w:rsidRPr="005A0B0F">
        <w:rPr>
          <w:rFonts w:ascii="Times New Roman" w:hAnsi="Times New Roman" w:cs="Times New Roman"/>
          <w:sz w:val="24"/>
          <w:szCs w:val="24"/>
        </w:rPr>
        <w:t xml:space="preserve"> Three main themes and 11 sub-themes became apparent through analysis of the transcripts of the six participant interviews. </w:t>
      </w:r>
      <w:r w:rsidR="00DC081B">
        <w:rPr>
          <w:rFonts w:ascii="Times New Roman" w:hAnsi="Times New Roman" w:cs="Times New Roman"/>
          <w:sz w:val="24"/>
          <w:szCs w:val="24"/>
        </w:rPr>
        <w:t xml:space="preserve"> </w:t>
      </w:r>
      <w:r w:rsidRPr="005A0B0F">
        <w:rPr>
          <w:rFonts w:ascii="Times New Roman" w:hAnsi="Times New Roman" w:cs="Times New Roman"/>
          <w:sz w:val="24"/>
          <w:szCs w:val="24"/>
        </w:rPr>
        <w:t xml:space="preserve">The three themes were Nutritional Views, Identity as a Runner, and Psychological Factors. </w:t>
      </w:r>
      <w:r w:rsidR="00DC081B">
        <w:rPr>
          <w:rFonts w:ascii="Times New Roman" w:hAnsi="Times New Roman" w:cs="Times New Roman"/>
          <w:sz w:val="24"/>
          <w:szCs w:val="24"/>
        </w:rPr>
        <w:t xml:space="preserve"> </w:t>
      </w:r>
      <w:r w:rsidRPr="00DC081B">
        <w:rPr>
          <w:rFonts w:ascii="Times New Roman" w:hAnsi="Times New Roman" w:cs="Times New Roman"/>
          <w:b/>
          <w:sz w:val="24"/>
          <w:szCs w:val="24"/>
        </w:rPr>
        <w:t>DISCUSSION:</w:t>
      </w:r>
      <w:r w:rsidRPr="005A0B0F">
        <w:rPr>
          <w:rFonts w:ascii="Times New Roman" w:hAnsi="Times New Roman" w:cs="Times New Roman"/>
          <w:sz w:val="24"/>
          <w:szCs w:val="24"/>
        </w:rPr>
        <w:t xml:space="preserve"> There were consistent interactions among the themes and subthemes, and each athlete’s identity as a runner clearly had an impact on her perception of health.  Many of the runners expressed the nee</w:t>
      </w:r>
      <w:r w:rsidR="00E27D9D">
        <w:rPr>
          <w:rFonts w:ascii="Times New Roman" w:hAnsi="Times New Roman" w:cs="Times New Roman"/>
          <w:sz w:val="24"/>
          <w:szCs w:val="24"/>
        </w:rPr>
        <w:t>d to eat a more balanced diet.  H</w:t>
      </w:r>
      <w:r w:rsidRPr="005A0B0F">
        <w:rPr>
          <w:rFonts w:ascii="Times New Roman" w:hAnsi="Times New Roman" w:cs="Times New Roman"/>
          <w:sz w:val="24"/>
          <w:szCs w:val="24"/>
        </w:rPr>
        <w:t>owever, they found restricted options within their campus cafeteri</w:t>
      </w:r>
      <w:r w:rsidR="00E27D9D">
        <w:rPr>
          <w:rFonts w:ascii="Times New Roman" w:hAnsi="Times New Roman" w:cs="Times New Roman"/>
          <w:sz w:val="24"/>
          <w:szCs w:val="24"/>
        </w:rPr>
        <w:t xml:space="preserve">a.  Time constraints, </w:t>
      </w:r>
      <w:r w:rsidRPr="005A0B0F">
        <w:rPr>
          <w:rFonts w:ascii="Times New Roman" w:hAnsi="Times New Roman" w:cs="Times New Roman"/>
          <w:sz w:val="24"/>
          <w:szCs w:val="24"/>
        </w:rPr>
        <w:t>availability of nutritional content, and the belief that the diet for a runner is different than a n</w:t>
      </w:r>
      <w:r w:rsidR="00E27D9D">
        <w:rPr>
          <w:rFonts w:ascii="Times New Roman" w:hAnsi="Times New Roman" w:cs="Times New Roman"/>
          <w:sz w:val="24"/>
          <w:szCs w:val="24"/>
        </w:rPr>
        <w:t xml:space="preserve">on-athlete </w:t>
      </w:r>
      <w:r w:rsidRPr="005A0B0F">
        <w:rPr>
          <w:rFonts w:ascii="Times New Roman" w:hAnsi="Times New Roman" w:cs="Times New Roman"/>
          <w:sz w:val="24"/>
          <w:szCs w:val="24"/>
        </w:rPr>
        <w:t>all played a role in the athletes making nutritional choices.  Therefore, the ability for athletes to exercise control in what they consume may affect their possible awareness of caloric intake and allow for a larger focus on their performance.  Overall, athletes tended to report not limiting their die</w:t>
      </w:r>
      <w:r w:rsidR="00E27D9D">
        <w:rPr>
          <w:rFonts w:ascii="Times New Roman" w:hAnsi="Times New Roman" w:cs="Times New Roman"/>
          <w:sz w:val="24"/>
          <w:szCs w:val="24"/>
        </w:rPr>
        <w:t xml:space="preserve">ts based on outside influences </w:t>
      </w:r>
      <w:r w:rsidRPr="005A0B0F">
        <w:rPr>
          <w:rFonts w:ascii="Times New Roman" w:hAnsi="Times New Roman" w:cs="Times New Roman"/>
          <w:sz w:val="24"/>
          <w:szCs w:val="24"/>
        </w:rPr>
        <w:t xml:space="preserve">but only limiting themselves when food was considered unhealthy and had the potential to lead to weight gain. </w:t>
      </w:r>
      <w:r w:rsidR="00DC081B">
        <w:rPr>
          <w:rFonts w:ascii="Times New Roman" w:hAnsi="Times New Roman" w:cs="Times New Roman"/>
          <w:sz w:val="24"/>
          <w:szCs w:val="24"/>
        </w:rPr>
        <w:t xml:space="preserve"> </w:t>
      </w:r>
      <w:r w:rsidRPr="005A0B0F">
        <w:rPr>
          <w:rFonts w:ascii="Times New Roman" w:hAnsi="Times New Roman" w:cs="Times New Roman"/>
          <w:sz w:val="24"/>
          <w:szCs w:val="24"/>
        </w:rPr>
        <w:t xml:space="preserve">Furthermore, the athletes expressed the need for balance between caloric intake and expenditure. </w:t>
      </w:r>
      <w:r w:rsidR="00DC081B">
        <w:rPr>
          <w:rFonts w:ascii="Times New Roman" w:hAnsi="Times New Roman" w:cs="Times New Roman"/>
          <w:sz w:val="24"/>
          <w:szCs w:val="24"/>
        </w:rPr>
        <w:t xml:space="preserve"> </w:t>
      </w:r>
      <w:r w:rsidRPr="005A0B0F">
        <w:rPr>
          <w:rFonts w:ascii="Times New Roman" w:hAnsi="Times New Roman" w:cs="Times New Roman"/>
          <w:sz w:val="24"/>
          <w:szCs w:val="24"/>
        </w:rPr>
        <w:t xml:space="preserve">The athletes also expressed uncertainty on how to attain nutritional balance, either due to an expressed lack of either reliable nutritional sources or nutritional knowledge. </w:t>
      </w:r>
      <w:r w:rsidR="00DC081B">
        <w:rPr>
          <w:rFonts w:ascii="Times New Roman" w:hAnsi="Times New Roman" w:cs="Times New Roman"/>
          <w:sz w:val="24"/>
          <w:szCs w:val="24"/>
        </w:rPr>
        <w:t xml:space="preserve"> </w:t>
      </w:r>
      <w:r w:rsidRPr="005A0B0F">
        <w:rPr>
          <w:rFonts w:ascii="Times New Roman" w:hAnsi="Times New Roman" w:cs="Times New Roman"/>
          <w:sz w:val="24"/>
          <w:szCs w:val="24"/>
        </w:rPr>
        <w:t xml:space="preserve">Individualized education and establishing trustworthiness are important areas for health care professionals to address. </w:t>
      </w:r>
      <w:r w:rsidR="00DC081B">
        <w:rPr>
          <w:rFonts w:ascii="Times New Roman" w:hAnsi="Times New Roman" w:cs="Times New Roman"/>
          <w:sz w:val="24"/>
          <w:szCs w:val="24"/>
        </w:rPr>
        <w:t xml:space="preserve"> </w:t>
      </w:r>
      <w:r w:rsidRPr="00DC081B">
        <w:rPr>
          <w:rFonts w:ascii="Times New Roman" w:hAnsi="Times New Roman" w:cs="Times New Roman"/>
          <w:b/>
          <w:sz w:val="24"/>
          <w:szCs w:val="24"/>
        </w:rPr>
        <w:t>CONCLUSION</w:t>
      </w:r>
      <w:r w:rsidR="00DC081B" w:rsidRPr="00DC081B">
        <w:rPr>
          <w:rFonts w:ascii="Times New Roman" w:hAnsi="Times New Roman" w:cs="Times New Roman"/>
          <w:b/>
          <w:sz w:val="24"/>
          <w:szCs w:val="24"/>
        </w:rPr>
        <w:t>S</w:t>
      </w:r>
      <w:r w:rsidRPr="00DC081B">
        <w:rPr>
          <w:rFonts w:ascii="Times New Roman" w:hAnsi="Times New Roman" w:cs="Times New Roman"/>
          <w:b/>
          <w:sz w:val="24"/>
          <w:szCs w:val="24"/>
        </w:rPr>
        <w:t>:</w:t>
      </w:r>
      <w:r w:rsidRPr="005A0B0F">
        <w:rPr>
          <w:rFonts w:ascii="Times New Roman" w:hAnsi="Times New Roman" w:cs="Times New Roman"/>
          <w:sz w:val="24"/>
          <w:szCs w:val="24"/>
        </w:rPr>
        <w:t xml:space="preserve"> The interactions that occurred between the subthemes and themes in this study demonstrated that there were multiple factors beyond nutritional knowledge influencing the athletes’ nutritional behaviors. </w:t>
      </w:r>
      <w:r w:rsidR="00DC081B">
        <w:rPr>
          <w:rFonts w:ascii="Times New Roman" w:hAnsi="Times New Roman" w:cs="Times New Roman"/>
          <w:sz w:val="24"/>
          <w:szCs w:val="24"/>
        </w:rPr>
        <w:t xml:space="preserve"> </w:t>
      </w:r>
      <w:r w:rsidR="00E27D9D">
        <w:rPr>
          <w:rFonts w:ascii="Times New Roman" w:hAnsi="Times New Roman" w:cs="Times New Roman"/>
          <w:sz w:val="24"/>
          <w:szCs w:val="24"/>
        </w:rPr>
        <w:t>Although t</w:t>
      </w:r>
      <w:r w:rsidRPr="005A0B0F">
        <w:rPr>
          <w:rFonts w:ascii="Times New Roman" w:hAnsi="Times New Roman" w:cs="Times New Roman"/>
          <w:sz w:val="24"/>
          <w:szCs w:val="24"/>
        </w:rPr>
        <w:t>hese findings give some insight into the nutritional decisions in female runners that may impac</w:t>
      </w:r>
      <w:r w:rsidR="00E27D9D">
        <w:rPr>
          <w:rFonts w:ascii="Times New Roman" w:hAnsi="Times New Roman" w:cs="Times New Roman"/>
          <w:sz w:val="24"/>
          <w:szCs w:val="24"/>
        </w:rPr>
        <w:t xml:space="preserve">t the female athlete triad, </w:t>
      </w:r>
      <w:r w:rsidRPr="005A0B0F">
        <w:rPr>
          <w:rFonts w:ascii="Times New Roman" w:hAnsi="Times New Roman" w:cs="Times New Roman"/>
          <w:sz w:val="24"/>
          <w:szCs w:val="24"/>
        </w:rPr>
        <w:t>clearly it is a complex issue</w:t>
      </w:r>
      <w:r w:rsidRPr="005A0B0F">
        <w:rPr>
          <w:rFonts w:ascii="Times New Roman" w:hAnsi="Times New Roman" w:cs="Times New Roman"/>
          <w:b/>
          <w:sz w:val="24"/>
          <w:szCs w:val="24"/>
        </w:rPr>
        <w:t>.</w:t>
      </w: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5A0B0F" w:rsidRDefault="005A0B0F" w:rsidP="00415767">
      <w:pPr>
        <w:spacing w:after="0" w:line="240" w:lineRule="auto"/>
        <w:rPr>
          <w:rFonts w:ascii="Times New Roman" w:hAnsi="Times New Roman" w:cs="Times New Roman"/>
          <w:b/>
          <w:sz w:val="24"/>
          <w:szCs w:val="24"/>
        </w:rPr>
      </w:pPr>
    </w:p>
    <w:p w:rsidR="00415767" w:rsidRPr="00415767" w:rsidRDefault="00415767" w:rsidP="00415767">
      <w:pPr>
        <w:spacing w:after="0" w:line="240" w:lineRule="auto"/>
        <w:rPr>
          <w:rFonts w:ascii="Times New Roman" w:hAnsi="Times New Roman" w:cs="Times New Roman"/>
          <w:sz w:val="24"/>
          <w:szCs w:val="24"/>
        </w:rPr>
      </w:pPr>
      <w:r w:rsidRPr="00415767">
        <w:rPr>
          <w:rFonts w:ascii="Times New Roman" w:hAnsi="Times New Roman" w:cs="Times New Roman"/>
          <w:b/>
          <w:sz w:val="24"/>
          <w:szCs w:val="24"/>
        </w:rPr>
        <w:lastRenderedPageBreak/>
        <w:t>A QUALITATIVE SYNTHESIS OF PEDIATRIC POWER MOBILITY TRAINING METHODS.</w:t>
      </w:r>
      <w:r w:rsidRPr="00415767">
        <w:rPr>
          <w:rFonts w:ascii="Times New Roman" w:hAnsi="Times New Roman" w:cs="Times New Roman"/>
          <w:sz w:val="24"/>
          <w:szCs w:val="24"/>
        </w:rPr>
        <w:t xml:space="preserve"> Clark A, Koops M, Smith L, Kenyon LK, Farris JP; Grand Valley State University, Grand Rapids, MI. </w:t>
      </w:r>
    </w:p>
    <w:p w:rsidR="00415767" w:rsidRPr="00415767" w:rsidRDefault="00415767" w:rsidP="00415767">
      <w:pPr>
        <w:spacing w:after="0" w:line="240" w:lineRule="auto"/>
        <w:rPr>
          <w:rFonts w:ascii="Times New Roman" w:hAnsi="Times New Roman" w:cs="Times New Roman"/>
          <w:sz w:val="24"/>
          <w:szCs w:val="24"/>
        </w:rPr>
      </w:pPr>
    </w:p>
    <w:p w:rsidR="00415767" w:rsidRDefault="00415767" w:rsidP="00415767">
      <w:pPr>
        <w:spacing w:after="0" w:line="240" w:lineRule="auto"/>
        <w:rPr>
          <w:rFonts w:ascii="Times New Roman" w:hAnsi="Times New Roman" w:cs="Times New Roman"/>
          <w:sz w:val="24"/>
          <w:szCs w:val="24"/>
        </w:rPr>
      </w:pPr>
      <w:r w:rsidRPr="00415767">
        <w:rPr>
          <w:rFonts w:ascii="Times New Roman" w:hAnsi="Times New Roman" w:cs="Times New Roman"/>
          <w:b/>
          <w:sz w:val="24"/>
          <w:szCs w:val="24"/>
        </w:rPr>
        <w:t>INTRODUCTION:</w:t>
      </w:r>
      <w:r w:rsidR="00EC0B42">
        <w:rPr>
          <w:rFonts w:ascii="Times New Roman" w:hAnsi="Times New Roman" w:cs="Times New Roman"/>
          <w:sz w:val="24"/>
          <w:szCs w:val="24"/>
        </w:rPr>
        <w:t xml:space="preserve"> </w:t>
      </w:r>
      <w:r w:rsidRPr="00415767">
        <w:rPr>
          <w:rFonts w:ascii="Times New Roman" w:hAnsi="Times New Roman" w:cs="Times New Roman"/>
          <w:sz w:val="24"/>
          <w:szCs w:val="24"/>
        </w:rPr>
        <w:t xml:space="preserve">Children with neurodevelopmental conditions are often limited in their abilities to use self-generated locomotor skills to explore and learn from their environment.  Power mobility devices are increasingly suggested as a way to ameliorate the impact of restrictions in self-generated locomotion.  The purpose of this systematic review was to critically appraise evidence from published studies that employed qualitative or descriptive research methodologies to explore power mobility training methods or techniques in children ages 21 years or younger.  </w:t>
      </w:r>
      <w:r w:rsidRPr="00415767">
        <w:rPr>
          <w:rFonts w:ascii="Times New Roman" w:hAnsi="Times New Roman" w:cs="Times New Roman"/>
          <w:b/>
          <w:sz w:val="24"/>
          <w:szCs w:val="24"/>
        </w:rPr>
        <w:t>METHODS:</w:t>
      </w:r>
      <w:r w:rsidR="00EC0B42">
        <w:rPr>
          <w:rFonts w:ascii="Times New Roman" w:hAnsi="Times New Roman" w:cs="Times New Roman"/>
          <w:sz w:val="24"/>
          <w:szCs w:val="24"/>
        </w:rPr>
        <w:t xml:space="preserve"> </w:t>
      </w:r>
      <w:r w:rsidRPr="00415767">
        <w:rPr>
          <w:rFonts w:ascii="Times New Roman" w:hAnsi="Times New Roman" w:cs="Times New Roman"/>
          <w:sz w:val="24"/>
          <w:szCs w:val="24"/>
        </w:rPr>
        <w:t xml:space="preserve">This systematic review was conducted in accordance with the Enhancing Transparency in Reporting the Synthesis of Qualitative Research (ENTREQ) guidelines.  A total of 18 subjects were included in the identified studies.  Nineteen databases were searched in June of 2015 and again in January of 2016.  Only primary source studies were included in the review.  Additional inclusion criteria were as follows: (1) included at least one child 21 years of age or younger, and (2) provided a description of the methods used related to learning to operate a power mobility device.  Mixed-method studies were included if the qualitative data could be isolated.  Exclusion criteria included: (1) not being published in English, (2) non-peer-reviewed, (3) not reporting qualitative data, and (4) a focus on the development of technology or measurement tools.  Included studies were appraised using the Critical Appraisal Skills </w:t>
      </w:r>
      <w:proofErr w:type="spellStart"/>
      <w:r w:rsidRPr="00415767">
        <w:rPr>
          <w:rFonts w:ascii="Times New Roman" w:hAnsi="Times New Roman" w:cs="Times New Roman"/>
          <w:sz w:val="24"/>
          <w:szCs w:val="24"/>
        </w:rPr>
        <w:t>Programme</w:t>
      </w:r>
      <w:proofErr w:type="spellEnd"/>
      <w:r w:rsidRPr="00415767">
        <w:rPr>
          <w:rFonts w:ascii="Times New Roman" w:hAnsi="Times New Roman" w:cs="Times New Roman"/>
          <w:sz w:val="24"/>
          <w:szCs w:val="24"/>
        </w:rPr>
        <w:t xml:space="preserve"> (CASP).  </w:t>
      </w:r>
      <w:r w:rsidRPr="00415767">
        <w:rPr>
          <w:rFonts w:ascii="Times New Roman" w:hAnsi="Times New Roman" w:cs="Times New Roman"/>
          <w:b/>
          <w:sz w:val="24"/>
          <w:szCs w:val="24"/>
        </w:rPr>
        <w:t>RESULTS:</w:t>
      </w:r>
      <w:r w:rsidR="00EC0B42">
        <w:rPr>
          <w:rFonts w:ascii="Times New Roman" w:hAnsi="Times New Roman" w:cs="Times New Roman"/>
          <w:sz w:val="24"/>
          <w:szCs w:val="24"/>
        </w:rPr>
        <w:t xml:space="preserve"> </w:t>
      </w:r>
      <w:r w:rsidRPr="00415767">
        <w:rPr>
          <w:rFonts w:ascii="Times New Roman" w:hAnsi="Times New Roman" w:cs="Times New Roman"/>
          <w:sz w:val="24"/>
          <w:szCs w:val="24"/>
        </w:rPr>
        <w:t xml:space="preserve">A total of 14,300 articles were identified in the search.  Four studies met the inclusion and exclusion criteria and included two case reports, one grounded theory research study, and a multiple case study design using mixed methods.  The dearth of raw qualitative data presented in the studies precluded a formal        inter-study thematic synthesis of data.  However, commonalities among the power mobility training methods were identified.  </w:t>
      </w:r>
      <w:r w:rsidRPr="00415767">
        <w:rPr>
          <w:rFonts w:ascii="Times New Roman" w:hAnsi="Times New Roman" w:cs="Times New Roman"/>
          <w:b/>
          <w:sz w:val="24"/>
          <w:szCs w:val="24"/>
        </w:rPr>
        <w:t>DISCUSSION:</w:t>
      </w:r>
      <w:r w:rsidR="00EC0B42">
        <w:rPr>
          <w:rFonts w:ascii="Times New Roman" w:hAnsi="Times New Roman" w:cs="Times New Roman"/>
          <w:sz w:val="24"/>
          <w:szCs w:val="24"/>
        </w:rPr>
        <w:t xml:space="preserve"> </w:t>
      </w:r>
      <w:r w:rsidRPr="00415767">
        <w:rPr>
          <w:rFonts w:ascii="Times New Roman" w:hAnsi="Times New Roman" w:cs="Times New Roman"/>
          <w:sz w:val="24"/>
          <w:szCs w:val="24"/>
        </w:rPr>
        <w:t xml:space="preserve">Using qualitative methodologies to gain insight from families and children could greatly enhance the literature and evidence related to power mobility training techniques.  While reviewing articles to assess research strategies utilized, a surprisingly large portion of qualitative data gathered was “down-coded” into quantitative outcomes.  </w:t>
      </w:r>
      <w:r w:rsidRPr="00415767">
        <w:rPr>
          <w:rFonts w:ascii="Times New Roman" w:hAnsi="Times New Roman" w:cs="Times New Roman"/>
          <w:b/>
          <w:sz w:val="24"/>
          <w:szCs w:val="24"/>
        </w:rPr>
        <w:t>CONCLUSIONS:</w:t>
      </w:r>
      <w:r w:rsidR="00EC0B42">
        <w:rPr>
          <w:rFonts w:ascii="Times New Roman" w:hAnsi="Times New Roman" w:cs="Times New Roman"/>
          <w:sz w:val="24"/>
          <w:szCs w:val="24"/>
        </w:rPr>
        <w:t xml:space="preserve"> </w:t>
      </w:r>
      <w:r w:rsidRPr="00415767">
        <w:rPr>
          <w:rFonts w:ascii="Times New Roman" w:hAnsi="Times New Roman" w:cs="Times New Roman"/>
          <w:sz w:val="24"/>
          <w:szCs w:val="24"/>
        </w:rPr>
        <w:t>Incorporating qualitative methodologies into studies exploring power mobility training methods used with children could better conceptualize the “how” and “why” of power mobility implementation within the pediatric population.  Including both qualitative and quantitative aspects encourages clinicians to look at the whole child and not merely the child’s numerical representation.</w:t>
      </w:r>
    </w:p>
    <w:p w:rsidR="00415767" w:rsidRDefault="00415767" w:rsidP="00415767">
      <w:pPr>
        <w:spacing w:after="0" w:line="240" w:lineRule="auto"/>
        <w:rPr>
          <w:rFonts w:ascii="Times New Roman" w:hAnsi="Times New Roman" w:cs="Times New Roman"/>
          <w:sz w:val="24"/>
          <w:szCs w:val="24"/>
        </w:rPr>
      </w:pPr>
    </w:p>
    <w:p w:rsidR="00415767" w:rsidRDefault="00415767" w:rsidP="00415767">
      <w:pPr>
        <w:spacing w:after="0" w:line="240" w:lineRule="auto"/>
        <w:rPr>
          <w:rFonts w:ascii="Times New Roman" w:hAnsi="Times New Roman" w:cs="Times New Roman"/>
          <w:sz w:val="24"/>
          <w:szCs w:val="24"/>
        </w:rPr>
      </w:pPr>
    </w:p>
    <w:p w:rsidR="00415767" w:rsidRDefault="00415767" w:rsidP="00415767">
      <w:pPr>
        <w:spacing w:after="0" w:line="240" w:lineRule="auto"/>
        <w:rPr>
          <w:rFonts w:ascii="Times New Roman" w:hAnsi="Times New Roman" w:cs="Times New Roman"/>
          <w:sz w:val="24"/>
          <w:szCs w:val="24"/>
        </w:rPr>
      </w:pPr>
    </w:p>
    <w:p w:rsidR="00415767" w:rsidRDefault="00415767" w:rsidP="00415767">
      <w:pPr>
        <w:spacing w:after="0" w:line="240" w:lineRule="auto"/>
        <w:rPr>
          <w:rFonts w:ascii="Times New Roman" w:hAnsi="Times New Roman" w:cs="Times New Roman"/>
          <w:sz w:val="24"/>
          <w:szCs w:val="24"/>
        </w:rPr>
      </w:pPr>
    </w:p>
    <w:p w:rsidR="00415767" w:rsidRDefault="00415767" w:rsidP="00415767">
      <w:pPr>
        <w:spacing w:after="0" w:line="240" w:lineRule="auto"/>
        <w:rPr>
          <w:rFonts w:ascii="Times New Roman" w:hAnsi="Times New Roman" w:cs="Times New Roman"/>
          <w:sz w:val="24"/>
          <w:szCs w:val="24"/>
        </w:rPr>
      </w:pPr>
    </w:p>
    <w:p w:rsidR="00415767" w:rsidRDefault="00415767" w:rsidP="00415767">
      <w:pPr>
        <w:spacing w:after="0" w:line="240" w:lineRule="auto"/>
        <w:rPr>
          <w:rFonts w:ascii="Times New Roman" w:hAnsi="Times New Roman" w:cs="Times New Roman"/>
          <w:sz w:val="24"/>
          <w:szCs w:val="24"/>
        </w:rPr>
      </w:pPr>
    </w:p>
    <w:p w:rsidR="00415767" w:rsidRDefault="00415767" w:rsidP="00415767">
      <w:pPr>
        <w:spacing w:after="0" w:line="240" w:lineRule="auto"/>
        <w:rPr>
          <w:rFonts w:ascii="Times New Roman" w:hAnsi="Times New Roman" w:cs="Times New Roman"/>
          <w:sz w:val="24"/>
          <w:szCs w:val="24"/>
        </w:rPr>
      </w:pPr>
    </w:p>
    <w:p w:rsidR="00415767" w:rsidRDefault="00415767" w:rsidP="00415767">
      <w:pPr>
        <w:spacing w:after="0" w:line="240" w:lineRule="auto"/>
        <w:rPr>
          <w:rFonts w:ascii="Times New Roman" w:hAnsi="Times New Roman" w:cs="Times New Roman"/>
          <w:sz w:val="24"/>
          <w:szCs w:val="24"/>
        </w:rPr>
      </w:pPr>
    </w:p>
    <w:p w:rsidR="00415767" w:rsidRDefault="00415767" w:rsidP="00415767">
      <w:pPr>
        <w:spacing w:after="0" w:line="240" w:lineRule="auto"/>
        <w:rPr>
          <w:rFonts w:ascii="Times New Roman" w:hAnsi="Times New Roman" w:cs="Times New Roman"/>
          <w:sz w:val="24"/>
          <w:szCs w:val="24"/>
        </w:rPr>
      </w:pPr>
    </w:p>
    <w:p w:rsidR="00415767" w:rsidRDefault="00415767" w:rsidP="00415767">
      <w:pPr>
        <w:spacing w:after="0" w:line="240" w:lineRule="auto"/>
        <w:rPr>
          <w:rFonts w:ascii="Times New Roman" w:hAnsi="Times New Roman" w:cs="Times New Roman"/>
          <w:sz w:val="24"/>
          <w:szCs w:val="24"/>
        </w:rPr>
      </w:pPr>
    </w:p>
    <w:p w:rsidR="00415767" w:rsidRDefault="00415767" w:rsidP="00415767">
      <w:pPr>
        <w:spacing w:after="0" w:line="240" w:lineRule="auto"/>
        <w:rPr>
          <w:rFonts w:ascii="Times New Roman" w:hAnsi="Times New Roman" w:cs="Times New Roman"/>
          <w:sz w:val="24"/>
          <w:szCs w:val="24"/>
        </w:rPr>
      </w:pPr>
    </w:p>
    <w:p w:rsidR="00DC3151" w:rsidRDefault="00DC3151" w:rsidP="00415767">
      <w:pPr>
        <w:spacing w:after="0" w:line="240" w:lineRule="auto"/>
        <w:rPr>
          <w:rFonts w:ascii="Times New Roman" w:hAnsi="Times New Roman" w:cs="Times New Roman"/>
          <w:sz w:val="24"/>
          <w:szCs w:val="24"/>
        </w:rPr>
      </w:pPr>
    </w:p>
    <w:p w:rsidR="00AF2930" w:rsidRPr="00AF2930" w:rsidRDefault="00AF2930" w:rsidP="00AF2930">
      <w:pPr>
        <w:spacing w:after="0" w:line="240" w:lineRule="auto"/>
        <w:rPr>
          <w:rFonts w:ascii="Times New Roman" w:hAnsi="Times New Roman" w:cs="Times New Roman"/>
          <w:b/>
          <w:sz w:val="24"/>
          <w:szCs w:val="24"/>
        </w:rPr>
      </w:pPr>
      <w:r w:rsidRPr="00AF2930">
        <w:rPr>
          <w:rFonts w:ascii="Times New Roman" w:hAnsi="Times New Roman" w:cs="Times New Roman"/>
          <w:b/>
          <w:sz w:val="24"/>
          <w:szCs w:val="24"/>
        </w:rPr>
        <w:lastRenderedPageBreak/>
        <w:t xml:space="preserve">THE EFFECTS OF FOOTWEAR ON POSTURAL SWAY AND RISK OF FALLS. </w:t>
      </w:r>
    </w:p>
    <w:p w:rsidR="00AF2930" w:rsidRPr="00AF2930" w:rsidRDefault="00AF2930" w:rsidP="00AF2930">
      <w:pPr>
        <w:spacing w:after="0" w:line="240" w:lineRule="auto"/>
        <w:rPr>
          <w:rFonts w:ascii="Times New Roman" w:hAnsi="Times New Roman" w:cs="Times New Roman"/>
          <w:sz w:val="24"/>
          <w:szCs w:val="24"/>
        </w:rPr>
      </w:pPr>
      <w:r w:rsidRPr="00AF2930">
        <w:rPr>
          <w:rFonts w:ascii="Times New Roman" w:hAnsi="Times New Roman" w:cs="Times New Roman"/>
          <w:sz w:val="24"/>
          <w:szCs w:val="24"/>
        </w:rPr>
        <w:t xml:space="preserve">Bringer N, </w:t>
      </w:r>
      <w:proofErr w:type="spellStart"/>
      <w:r w:rsidRPr="00AF2930">
        <w:rPr>
          <w:rFonts w:ascii="Times New Roman" w:hAnsi="Times New Roman" w:cs="Times New Roman"/>
          <w:sz w:val="24"/>
          <w:szCs w:val="24"/>
        </w:rPr>
        <w:t>Broders</w:t>
      </w:r>
      <w:proofErr w:type="spellEnd"/>
      <w:r w:rsidRPr="00AF2930">
        <w:rPr>
          <w:rFonts w:ascii="Times New Roman" w:hAnsi="Times New Roman" w:cs="Times New Roman"/>
          <w:sz w:val="24"/>
          <w:szCs w:val="24"/>
        </w:rPr>
        <w:t xml:space="preserve"> J, Young E, Goehring M; Grand Valley State University, Grand Rapids, MI.</w:t>
      </w:r>
    </w:p>
    <w:p w:rsidR="00AF2930" w:rsidRPr="00AF2930" w:rsidRDefault="00AF2930" w:rsidP="00AF2930">
      <w:pPr>
        <w:spacing w:after="0" w:line="240" w:lineRule="auto"/>
        <w:rPr>
          <w:rFonts w:ascii="Times New Roman" w:hAnsi="Times New Roman" w:cs="Times New Roman"/>
          <w:sz w:val="24"/>
          <w:szCs w:val="24"/>
        </w:rPr>
      </w:pPr>
    </w:p>
    <w:p w:rsidR="00AF2930" w:rsidRDefault="00AF2930" w:rsidP="00AF2930">
      <w:pPr>
        <w:spacing w:after="0" w:line="240" w:lineRule="auto"/>
        <w:rPr>
          <w:rFonts w:ascii="Times New Roman" w:hAnsi="Times New Roman" w:cs="Times New Roman"/>
          <w:sz w:val="24"/>
          <w:szCs w:val="24"/>
        </w:rPr>
      </w:pPr>
      <w:r w:rsidRPr="00AF2930">
        <w:rPr>
          <w:rFonts w:ascii="Times New Roman" w:hAnsi="Times New Roman" w:cs="Times New Roman"/>
          <w:b/>
          <w:sz w:val="24"/>
          <w:szCs w:val="24"/>
        </w:rPr>
        <w:t>INTRODUCTION:</w:t>
      </w:r>
      <w:r w:rsidRPr="00AF2930">
        <w:rPr>
          <w:rFonts w:ascii="Times New Roman" w:hAnsi="Times New Roman" w:cs="Times New Roman"/>
          <w:sz w:val="24"/>
          <w:szCs w:val="24"/>
        </w:rPr>
        <w:t xml:space="preserve"> Non-slip socks are utilized with the intent to decrease risk of falls in medical settings, especially during ambulation or other functional tasks.  Few studies have assessed the effectiveness of non-slip socks with regards to postural sway during a simulated fall. </w:t>
      </w:r>
    </w:p>
    <w:p w:rsidR="00DC3151" w:rsidRDefault="00AF2930" w:rsidP="00AF2930">
      <w:pPr>
        <w:spacing w:after="0" w:line="240" w:lineRule="auto"/>
        <w:rPr>
          <w:rFonts w:ascii="Times New Roman" w:hAnsi="Times New Roman" w:cs="Times New Roman"/>
          <w:sz w:val="24"/>
          <w:szCs w:val="24"/>
        </w:rPr>
      </w:pPr>
      <w:r w:rsidRPr="00AF2930">
        <w:rPr>
          <w:rFonts w:ascii="Times New Roman" w:hAnsi="Times New Roman" w:cs="Times New Roman"/>
          <w:sz w:val="24"/>
          <w:szCs w:val="24"/>
        </w:rPr>
        <w:t xml:space="preserve">It has been determined that footwear characteristics impact balance but how this is directly related to the rate and risk of falls is still unclear. </w:t>
      </w:r>
      <w:r>
        <w:rPr>
          <w:rFonts w:ascii="Times New Roman" w:hAnsi="Times New Roman" w:cs="Times New Roman"/>
          <w:sz w:val="24"/>
          <w:szCs w:val="24"/>
        </w:rPr>
        <w:t xml:space="preserve"> </w:t>
      </w:r>
      <w:r w:rsidRPr="00AF2930">
        <w:rPr>
          <w:rFonts w:ascii="Times New Roman" w:hAnsi="Times New Roman" w:cs="Times New Roman"/>
          <w:sz w:val="24"/>
          <w:szCs w:val="24"/>
        </w:rPr>
        <w:t xml:space="preserve">The purpose of this study was to determine the postural sway of ambulatory subjects </w:t>
      </w:r>
      <w:r>
        <w:rPr>
          <w:rFonts w:ascii="Times New Roman" w:hAnsi="Times New Roman" w:cs="Times New Roman"/>
          <w:sz w:val="24"/>
          <w:szCs w:val="24"/>
        </w:rPr>
        <w:t>over 50 years of age while barefoot, while</w:t>
      </w:r>
      <w:r w:rsidRPr="00AF2930">
        <w:rPr>
          <w:rFonts w:ascii="Times New Roman" w:hAnsi="Times New Roman" w:cs="Times New Roman"/>
          <w:sz w:val="24"/>
          <w:szCs w:val="24"/>
        </w:rPr>
        <w:t xml:space="preserve"> wearing </w:t>
      </w:r>
      <w:r>
        <w:rPr>
          <w:rFonts w:ascii="Times New Roman" w:hAnsi="Times New Roman" w:cs="Times New Roman"/>
          <w:sz w:val="24"/>
          <w:szCs w:val="24"/>
        </w:rPr>
        <w:t xml:space="preserve">      </w:t>
      </w:r>
      <w:r w:rsidRPr="00AF2930">
        <w:rPr>
          <w:rFonts w:ascii="Times New Roman" w:hAnsi="Times New Roman" w:cs="Times New Roman"/>
          <w:sz w:val="24"/>
          <w:szCs w:val="24"/>
        </w:rPr>
        <w:t>non-slip socks, and while wearing athletic sh</w:t>
      </w:r>
      <w:r>
        <w:rPr>
          <w:rFonts w:ascii="Times New Roman" w:hAnsi="Times New Roman" w:cs="Times New Roman"/>
          <w:sz w:val="24"/>
          <w:szCs w:val="24"/>
        </w:rPr>
        <w:t>oes during a simulated fall.  The authors hypothesized that there would be</w:t>
      </w:r>
      <w:r w:rsidRPr="00AF2930">
        <w:rPr>
          <w:rFonts w:ascii="Times New Roman" w:hAnsi="Times New Roman" w:cs="Times New Roman"/>
          <w:sz w:val="24"/>
          <w:szCs w:val="24"/>
        </w:rPr>
        <w:t xml:space="preserve"> a significant differe</w:t>
      </w:r>
      <w:r>
        <w:rPr>
          <w:rFonts w:ascii="Times New Roman" w:hAnsi="Times New Roman" w:cs="Times New Roman"/>
          <w:sz w:val="24"/>
          <w:szCs w:val="24"/>
        </w:rPr>
        <w:t>nce in the velocity of sway while</w:t>
      </w:r>
      <w:r w:rsidRPr="00AF2930">
        <w:rPr>
          <w:rFonts w:ascii="Times New Roman" w:hAnsi="Times New Roman" w:cs="Times New Roman"/>
          <w:sz w:val="24"/>
          <w:szCs w:val="24"/>
        </w:rPr>
        <w:t xml:space="preserve"> subjects are barefoot, wearing non-slip socks, a</w:t>
      </w:r>
      <w:r>
        <w:rPr>
          <w:rFonts w:ascii="Times New Roman" w:hAnsi="Times New Roman" w:cs="Times New Roman"/>
          <w:sz w:val="24"/>
          <w:szCs w:val="24"/>
        </w:rPr>
        <w:t xml:space="preserve">nd </w:t>
      </w:r>
      <w:r w:rsidRPr="00AF2930">
        <w:rPr>
          <w:rFonts w:ascii="Times New Roman" w:hAnsi="Times New Roman" w:cs="Times New Roman"/>
          <w:sz w:val="24"/>
          <w:szCs w:val="24"/>
        </w:rPr>
        <w:t xml:space="preserve">wearing athletic shoes. </w:t>
      </w:r>
      <w:r>
        <w:rPr>
          <w:rFonts w:ascii="Times New Roman" w:hAnsi="Times New Roman" w:cs="Times New Roman"/>
          <w:sz w:val="24"/>
          <w:szCs w:val="24"/>
        </w:rPr>
        <w:t xml:space="preserve"> More specifically, the authors</w:t>
      </w:r>
      <w:r w:rsidRPr="00AF2930">
        <w:rPr>
          <w:rFonts w:ascii="Times New Roman" w:hAnsi="Times New Roman" w:cs="Times New Roman"/>
          <w:sz w:val="24"/>
          <w:szCs w:val="24"/>
        </w:rPr>
        <w:t xml:space="preserve"> hypothesized that non-slip socks would actually increase postural sway during a simulated fall compared to being barefoot and while wearing athletic shoes.  </w:t>
      </w:r>
      <w:r w:rsidRPr="00AF2930">
        <w:rPr>
          <w:rFonts w:ascii="Times New Roman" w:hAnsi="Times New Roman" w:cs="Times New Roman"/>
          <w:b/>
          <w:sz w:val="24"/>
          <w:szCs w:val="24"/>
        </w:rPr>
        <w:t>METHODS:</w:t>
      </w:r>
      <w:r w:rsidRPr="00AF2930">
        <w:rPr>
          <w:rFonts w:ascii="Times New Roman" w:hAnsi="Times New Roman" w:cs="Times New Roman"/>
          <w:sz w:val="24"/>
          <w:szCs w:val="24"/>
        </w:rPr>
        <w:t xml:space="preserve"> Velocity of postural sway was measured during a simulated fall on 14 healthy adults over the age of 50 using the </w:t>
      </w:r>
      <w:proofErr w:type="spellStart"/>
      <w:r w:rsidRPr="00AF2930">
        <w:rPr>
          <w:rFonts w:ascii="Times New Roman" w:hAnsi="Times New Roman" w:cs="Times New Roman"/>
          <w:sz w:val="24"/>
          <w:szCs w:val="24"/>
        </w:rPr>
        <w:t>NeuroCom</w:t>
      </w:r>
      <w:proofErr w:type="spellEnd"/>
      <w:r w:rsidRPr="00AF2930">
        <w:rPr>
          <w:rFonts w:ascii="Times New Roman" w:hAnsi="Times New Roman" w:cs="Times New Roman"/>
          <w:sz w:val="24"/>
          <w:szCs w:val="24"/>
        </w:rPr>
        <w:t xml:space="preserve"> Balance Platform Master. </w:t>
      </w:r>
      <w:r>
        <w:rPr>
          <w:rFonts w:ascii="Times New Roman" w:hAnsi="Times New Roman" w:cs="Times New Roman"/>
          <w:sz w:val="24"/>
          <w:szCs w:val="24"/>
        </w:rPr>
        <w:t xml:space="preserve"> </w:t>
      </w:r>
      <w:r w:rsidRPr="00AF2930">
        <w:rPr>
          <w:rFonts w:ascii="Times New Roman" w:hAnsi="Times New Roman" w:cs="Times New Roman"/>
          <w:sz w:val="24"/>
          <w:szCs w:val="24"/>
        </w:rPr>
        <w:t xml:space="preserve">The number of subjects was over the minimum of n=12 needed to demonstrate statistical power.  Each subject experienced three simulated falls with each of the three types of footwear. </w:t>
      </w:r>
      <w:r>
        <w:rPr>
          <w:rFonts w:ascii="Times New Roman" w:hAnsi="Times New Roman" w:cs="Times New Roman"/>
          <w:sz w:val="24"/>
          <w:szCs w:val="24"/>
        </w:rPr>
        <w:t xml:space="preserve"> </w:t>
      </w:r>
      <w:r w:rsidRPr="00AF2930">
        <w:rPr>
          <w:rFonts w:ascii="Times New Roman" w:hAnsi="Times New Roman" w:cs="Times New Roman"/>
          <w:sz w:val="24"/>
          <w:szCs w:val="24"/>
        </w:rPr>
        <w:t xml:space="preserve">Barefoot was used as the control against wearing athletic shoes and non-slip socks.  Hierarchical linear modeling was used to determine if there was a significant difference in velocity of postural sway between the three different types of footwear with P≤.05.  This analysis controlled for the learning effect between trials.  </w:t>
      </w:r>
      <w:r w:rsidRPr="00AF2930">
        <w:rPr>
          <w:rFonts w:ascii="Times New Roman" w:hAnsi="Times New Roman" w:cs="Times New Roman"/>
          <w:b/>
          <w:sz w:val="24"/>
          <w:szCs w:val="24"/>
        </w:rPr>
        <w:t>RESULTS:</w:t>
      </w:r>
      <w:r w:rsidRPr="00AF2930">
        <w:rPr>
          <w:rFonts w:ascii="Times New Roman" w:hAnsi="Times New Roman" w:cs="Times New Roman"/>
          <w:sz w:val="24"/>
          <w:szCs w:val="24"/>
        </w:rPr>
        <w:t xml:space="preserve"> Velocit</w:t>
      </w:r>
      <w:r>
        <w:rPr>
          <w:rFonts w:ascii="Times New Roman" w:hAnsi="Times New Roman" w:cs="Times New Roman"/>
          <w:sz w:val="24"/>
          <w:szCs w:val="24"/>
        </w:rPr>
        <w:t>y of sway while wearing non-slip socks was</w:t>
      </w:r>
      <w:r w:rsidRPr="00AF2930">
        <w:rPr>
          <w:rFonts w:ascii="Times New Roman" w:hAnsi="Times New Roman" w:cs="Times New Roman"/>
          <w:sz w:val="24"/>
          <w:szCs w:val="24"/>
        </w:rPr>
        <w:t xml:space="preserve"> significantly lower when compared to </w:t>
      </w:r>
      <w:r>
        <w:rPr>
          <w:rFonts w:ascii="Times New Roman" w:hAnsi="Times New Roman" w:cs="Times New Roman"/>
          <w:sz w:val="24"/>
          <w:szCs w:val="24"/>
        </w:rPr>
        <w:t>velocity of sway while barefoot</w:t>
      </w:r>
      <w:r w:rsidRPr="00AF2930">
        <w:rPr>
          <w:rFonts w:ascii="Times New Roman" w:hAnsi="Times New Roman" w:cs="Times New Roman"/>
          <w:sz w:val="24"/>
          <w:szCs w:val="24"/>
        </w:rPr>
        <w:t xml:space="preserve"> (p=0.0132).  Velocity of s</w:t>
      </w:r>
      <w:r>
        <w:rPr>
          <w:rFonts w:ascii="Times New Roman" w:hAnsi="Times New Roman" w:cs="Times New Roman"/>
          <w:sz w:val="24"/>
          <w:szCs w:val="24"/>
        </w:rPr>
        <w:t xml:space="preserve">way while </w:t>
      </w:r>
      <w:r w:rsidRPr="00AF2930">
        <w:rPr>
          <w:rFonts w:ascii="Times New Roman" w:hAnsi="Times New Roman" w:cs="Times New Roman"/>
          <w:sz w:val="24"/>
          <w:szCs w:val="24"/>
        </w:rPr>
        <w:t xml:space="preserve">barefoot compared to velocity of sway while wearing </w:t>
      </w:r>
      <w:r>
        <w:rPr>
          <w:rFonts w:ascii="Times New Roman" w:hAnsi="Times New Roman" w:cs="Times New Roman"/>
          <w:sz w:val="24"/>
          <w:szCs w:val="24"/>
        </w:rPr>
        <w:t>athletic shoes did</w:t>
      </w:r>
      <w:r w:rsidRPr="00AF2930">
        <w:rPr>
          <w:rFonts w:ascii="Times New Roman" w:hAnsi="Times New Roman" w:cs="Times New Roman"/>
          <w:sz w:val="24"/>
          <w:szCs w:val="24"/>
        </w:rPr>
        <w:t xml:space="preserve"> not significantly differ (p=0.1460).  Velocit</w:t>
      </w:r>
      <w:r>
        <w:rPr>
          <w:rFonts w:ascii="Times New Roman" w:hAnsi="Times New Roman" w:cs="Times New Roman"/>
          <w:sz w:val="24"/>
          <w:szCs w:val="24"/>
        </w:rPr>
        <w:t>y of sway while wearing non-slip socks was</w:t>
      </w:r>
      <w:r w:rsidRPr="00AF2930">
        <w:rPr>
          <w:rFonts w:ascii="Times New Roman" w:hAnsi="Times New Roman" w:cs="Times New Roman"/>
          <w:sz w:val="24"/>
          <w:szCs w:val="24"/>
        </w:rPr>
        <w:t xml:space="preserve"> significantly lower when compared to velocity of sway while wearing </w:t>
      </w:r>
      <w:r>
        <w:rPr>
          <w:rFonts w:ascii="Times New Roman" w:hAnsi="Times New Roman" w:cs="Times New Roman"/>
          <w:sz w:val="24"/>
          <w:szCs w:val="24"/>
        </w:rPr>
        <w:t xml:space="preserve">athletic </w:t>
      </w:r>
      <w:r w:rsidRPr="00AF2930">
        <w:rPr>
          <w:rFonts w:ascii="Times New Roman" w:hAnsi="Times New Roman" w:cs="Times New Roman"/>
          <w:sz w:val="24"/>
          <w:szCs w:val="24"/>
        </w:rPr>
        <w:t xml:space="preserve">shoes (p=0.0001).  </w:t>
      </w:r>
      <w:r w:rsidRPr="00AF2930">
        <w:rPr>
          <w:rFonts w:ascii="Times New Roman" w:hAnsi="Times New Roman" w:cs="Times New Roman"/>
          <w:b/>
          <w:sz w:val="24"/>
          <w:szCs w:val="24"/>
        </w:rPr>
        <w:t>DISCUSSION:</w:t>
      </w:r>
      <w:r w:rsidRPr="00AF2930">
        <w:rPr>
          <w:rFonts w:ascii="Times New Roman" w:hAnsi="Times New Roman" w:cs="Times New Roman"/>
          <w:sz w:val="24"/>
          <w:szCs w:val="24"/>
        </w:rPr>
        <w:t xml:space="preserve"> Non-slip socks are issued as part of standard protocols in healthcare f</w:t>
      </w:r>
      <w:r>
        <w:rPr>
          <w:rFonts w:ascii="Times New Roman" w:hAnsi="Times New Roman" w:cs="Times New Roman"/>
          <w:sz w:val="24"/>
          <w:szCs w:val="24"/>
        </w:rPr>
        <w:t>acilities to prevent falls.  This</w:t>
      </w:r>
      <w:r w:rsidRPr="00AF2930">
        <w:rPr>
          <w:rFonts w:ascii="Times New Roman" w:hAnsi="Times New Roman" w:cs="Times New Roman"/>
          <w:sz w:val="24"/>
          <w:szCs w:val="24"/>
        </w:rPr>
        <w:t xml:space="preserve"> study supports the continued use of </w:t>
      </w:r>
      <w:r>
        <w:rPr>
          <w:rFonts w:ascii="Times New Roman" w:hAnsi="Times New Roman" w:cs="Times New Roman"/>
          <w:sz w:val="24"/>
          <w:szCs w:val="24"/>
        </w:rPr>
        <w:t xml:space="preserve">    </w:t>
      </w:r>
      <w:r w:rsidRPr="00AF2930">
        <w:rPr>
          <w:rFonts w:ascii="Times New Roman" w:hAnsi="Times New Roman" w:cs="Times New Roman"/>
          <w:sz w:val="24"/>
          <w:szCs w:val="24"/>
        </w:rPr>
        <w:t xml:space="preserve">non-slip socks given that velocity of sway significantly decreases when compared to being barefoot or wearing athletic shoes during a simulated fall using the </w:t>
      </w:r>
      <w:proofErr w:type="spellStart"/>
      <w:r w:rsidRPr="00AF2930">
        <w:rPr>
          <w:rFonts w:ascii="Times New Roman" w:hAnsi="Times New Roman" w:cs="Times New Roman"/>
          <w:sz w:val="24"/>
          <w:szCs w:val="24"/>
        </w:rPr>
        <w:t>NeuroCom</w:t>
      </w:r>
      <w:proofErr w:type="spellEnd"/>
      <w:r w:rsidRPr="00AF2930">
        <w:rPr>
          <w:rFonts w:ascii="Times New Roman" w:hAnsi="Times New Roman" w:cs="Times New Roman"/>
          <w:sz w:val="24"/>
          <w:szCs w:val="24"/>
        </w:rPr>
        <w:t xml:space="preserve"> Balance Platform Master.  </w:t>
      </w:r>
      <w:r w:rsidRPr="00AF2930">
        <w:rPr>
          <w:rFonts w:ascii="Times New Roman" w:hAnsi="Times New Roman" w:cs="Times New Roman"/>
          <w:b/>
          <w:sz w:val="24"/>
          <w:szCs w:val="24"/>
        </w:rPr>
        <w:t>CONCLUSIONS:</w:t>
      </w:r>
      <w:r w:rsidRPr="00AF2930">
        <w:rPr>
          <w:rFonts w:ascii="Times New Roman" w:hAnsi="Times New Roman" w:cs="Times New Roman"/>
          <w:sz w:val="24"/>
          <w:szCs w:val="24"/>
        </w:rPr>
        <w:t xml:space="preserve"> According to the study findings, postural sway is lowest during a simulated fall while wearing non-slip socks.  Given that there is a relationship between increased postural sway and falls, this research supports the continued use of non-slip socks</w:t>
      </w:r>
      <w:r>
        <w:rPr>
          <w:rFonts w:ascii="Times New Roman" w:hAnsi="Times New Roman" w:cs="Times New Roman"/>
          <w:sz w:val="24"/>
          <w:szCs w:val="24"/>
        </w:rPr>
        <w:t>,</w:t>
      </w:r>
      <w:r w:rsidRPr="00AF2930">
        <w:rPr>
          <w:rFonts w:ascii="Times New Roman" w:hAnsi="Times New Roman" w:cs="Times New Roman"/>
          <w:sz w:val="24"/>
          <w:szCs w:val="24"/>
        </w:rPr>
        <w:t xml:space="preserve"> especially when risk of falls is high such as during functional mobility activities and when working with the geriatric population.  Further research is warranted to determine if there would be </w:t>
      </w:r>
      <w:r w:rsidR="007C4C36">
        <w:rPr>
          <w:rFonts w:ascii="Times New Roman" w:hAnsi="Times New Roman" w:cs="Times New Roman"/>
          <w:sz w:val="24"/>
          <w:szCs w:val="24"/>
        </w:rPr>
        <w:t>similar findings if the testing was</w:t>
      </w:r>
      <w:r w:rsidRPr="00AF2930">
        <w:rPr>
          <w:rFonts w:ascii="Times New Roman" w:hAnsi="Times New Roman" w:cs="Times New Roman"/>
          <w:sz w:val="24"/>
          <w:szCs w:val="24"/>
        </w:rPr>
        <w:t xml:space="preserve"> conducted on a high fall risk population.  </w:t>
      </w:r>
      <w:r w:rsidRPr="00AF2930">
        <w:rPr>
          <w:rFonts w:ascii="Times New Roman" w:hAnsi="Times New Roman" w:cs="Times New Roman"/>
          <w:b/>
          <w:sz w:val="24"/>
          <w:szCs w:val="24"/>
        </w:rPr>
        <w:t>ACKNOWLEDGEMENTS:</w:t>
      </w:r>
      <w:r w:rsidRPr="00AF2930">
        <w:rPr>
          <w:rFonts w:ascii="Times New Roman" w:hAnsi="Times New Roman" w:cs="Times New Roman"/>
          <w:sz w:val="24"/>
          <w:szCs w:val="24"/>
        </w:rPr>
        <w:t xml:space="preserve"> GVSU Statistical Department</w:t>
      </w:r>
      <w:r>
        <w:rPr>
          <w:rFonts w:ascii="Times New Roman" w:hAnsi="Times New Roman" w:cs="Times New Roman"/>
          <w:sz w:val="24"/>
          <w:szCs w:val="24"/>
        </w:rPr>
        <w:t>.</w:t>
      </w:r>
    </w:p>
    <w:p w:rsidR="00DC3151" w:rsidRDefault="00DC3151" w:rsidP="00DC3151">
      <w:pPr>
        <w:spacing w:after="0" w:line="240" w:lineRule="auto"/>
        <w:rPr>
          <w:rFonts w:ascii="Times New Roman" w:hAnsi="Times New Roman" w:cs="Times New Roman"/>
          <w:sz w:val="24"/>
          <w:szCs w:val="24"/>
        </w:rPr>
      </w:pPr>
    </w:p>
    <w:p w:rsidR="00DC3151" w:rsidRDefault="00DC3151" w:rsidP="00DC3151">
      <w:pPr>
        <w:spacing w:after="0" w:line="240" w:lineRule="auto"/>
        <w:rPr>
          <w:rFonts w:ascii="Times New Roman" w:hAnsi="Times New Roman" w:cs="Times New Roman"/>
          <w:sz w:val="24"/>
          <w:szCs w:val="24"/>
        </w:rPr>
      </w:pPr>
    </w:p>
    <w:p w:rsidR="00DC3151" w:rsidRDefault="00DC3151" w:rsidP="00DC3151">
      <w:pPr>
        <w:spacing w:after="0" w:line="240" w:lineRule="auto"/>
        <w:rPr>
          <w:rFonts w:ascii="Times New Roman" w:hAnsi="Times New Roman" w:cs="Times New Roman"/>
          <w:sz w:val="24"/>
          <w:szCs w:val="24"/>
        </w:rPr>
      </w:pPr>
    </w:p>
    <w:p w:rsidR="00DC3151" w:rsidRDefault="00DC3151" w:rsidP="00DC3151">
      <w:pPr>
        <w:spacing w:after="0" w:line="240" w:lineRule="auto"/>
        <w:rPr>
          <w:rFonts w:ascii="Times New Roman" w:hAnsi="Times New Roman" w:cs="Times New Roman"/>
          <w:sz w:val="24"/>
          <w:szCs w:val="24"/>
        </w:rPr>
      </w:pPr>
    </w:p>
    <w:p w:rsidR="00DC3151" w:rsidRDefault="00DC3151" w:rsidP="00DC3151">
      <w:pPr>
        <w:spacing w:after="0" w:line="240" w:lineRule="auto"/>
        <w:rPr>
          <w:rFonts w:ascii="Times New Roman" w:hAnsi="Times New Roman" w:cs="Times New Roman"/>
          <w:sz w:val="24"/>
          <w:szCs w:val="24"/>
        </w:rPr>
      </w:pPr>
    </w:p>
    <w:p w:rsidR="00DC3151" w:rsidRDefault="00DC3151" w:rsidP="00DC3151">
      <w:pPr>
        <w:spacing w:after="0" w:line="240" w:lineRule="auto"/>
        <w:rPr>
          <w:rFonts w:ascii="Times New Roman" w:hAnsi="Times New Roman" w:cs="Times New Roman"/>
          <w:sz w:val="24"/>
          <w:szCs w:val="24"/>
        </w:rPr>
      </w:pPr>
    </w:p>
    <w:p w:rsidR="00AF2930" w:rsidRDefault="00AF2930" w:rsidP="00DC3151">
      <w:pPr>
        <w:spacing w:after="0" w:line="240" w:lineRule="auto"/>
        <w:rPr>
          <w:rFonts w:ascii="Times New Roman" w:hAnsi="Times New Roman" w:cs="Times New Roman"/>
          <w:sz w:val="24"/>
          <w:szCs w:val="24"/>
        </w:rPr>
      </w:pPr>
    </w:p>
    <w:p w:rsidR="007C4C36" w:rsidRDefault="007C4C36" w:rsidP="00DC3151">
      <w:pPr>
        <w:spacing w:after="0" w:line="240" w:lineRule="auto"/>
        <w:rPr>
          <w:rFonts w:ascii="Times New Roman" w:hAnsi="Times New Roman" w:cs="Times New Roman"/>
          <w:sz w:val="24"/>
          <w:szCs w:val="24"/>
        </w:rPr>
      </w:pPr>
    </w:p>
    <w:p w:rsidR="00DC3151" w:rsidRPr="003D6724" w:rsidRDefault="00DC3151" w:rsidP="00DC3151">
      <w:pPr>
        <w:spacing w:after="0" w:line="240" w:lineRule="auto"/>
        <w:rPr>
          <w:rFonts w:ascii="Times New Roman" w:hAnsi="Times New Roman" w:cs="Times New Roman"/>
          <w:b/>
          <w:sz w:val="24"/>
          <w:szCs w:val="24"/>
        </w:rPr>
      </w:pPr>
      <w:r w:rsidRPr="003D6724">
        <w:rPr>
          <w:rFonts w:ascii="Times New Roman" w:hAnsi="Times New Roman" w:cs="Times New Roman"/>
          <w:b/>
          <w:sz w:val="24"/>
          <w:szCs w:val="24"/>
        </w:rPr>
        <w:lastRenderedPageBreak/>
        <w:t xml:space="preserve">BALANCE AND GAIT TRAINING IN A PATIENT </w:t>
      </w:r>
      <w:r w:rsidR="003D6724" w:rsidRPr="003D6724">
        <w:rPr>
          <w:rFonts w:ascii="Times New Roman" w:hAnsi="Times New Roman" w:cs="Times New Roman"/>
          <w:b/>
          <w:sz w:val="24"/>
          <w:szCs w:val="24"/>
        </w:rPr>
        <w:t xml:space="preserve">WITH DIABETES AND </w:t>
      </w:r>
      <w:r w:rsidRPr="003D6724">
        <w:rPr>
          <w:rFonts w:ascii="Times New Roman" w:hAnsi="Times New Roman" w:cs="Times New Roman"/>
          <w:b/>
          <w:sz w:val="24"/>
          <w:szCs w:val="24"/>
        </w:rPr>
        <w:t>TRANSTI</w:t>
      </w:r>
      <w:r w:rsidR="003D6724">
        <w:rPr>
          <w:rFonts w:ascii="Times New Roman" w:hAnsi="Times New Roman" w:cs="Times New Roman"/>
          <w:b/>
          <w:sz w:val="24"/>
          <w:szCs w:val="24"/>
        </w:rPr>
        <w:t xml:space="preserve">BIAL AMPUTATION: A CASE REPORT. </w:t>
      </w:r>
      <w:r w:rsidRPr="00DC3151">
        <w:rPr>
          <w:rFonts w:ascii="Times New Roman" w:hAnsi="Times New Roman" w:cs="Times New Roman"/>
          <w:sz w:val="24"/>
          <w:szCs w:val="24"/>
        </w:rPr>
        <w:t>O’Neal J, Ozga K; Grand Valley State University, Grand Rapid</w:t>
      </w:r>
      <w:r w:rsidR="003D6724">
        <w:rPr>
          <w:rFonts w:ascii="Times New Roman" w:hAnsi="Times New Roman" w:cs="Times New Roman"/>
          <w:sz w:val="24"/>
          <w:szCs w:val="24"/>
        </w:rPr>
        <w:t>s</w:t>
      </w:r>
      <w:r w:rsidRPr="00DC3151">
        <w:rPr>
          <w:rFonts w:ascii="Times New Roman" w:hAnsi="Times New Roman" w:cs="Times New Roman"/>
          <w:sz w:val="24"/>
          <w:szCs w:val="24"/>
        </w:rPr>
        <w:t>, MI.</w:t>
      </w:r>
    </w:p>
    <w:p w:rsidR="00DC3151" w:rsidRPr="00DC3151" w:rsidRDefault="00DC3151" w:rsidP="00DC3151">
      <w:pPr>
        <w:spacing w:after="0" w:line="240" w:lineRule="auto"/>
        <w:rPr>
          <w:rFonts w:ascii="Times New Roman" w:hAnsi="Times New Roman" w:cs="Times New Roman"/>
          <w:sz w:val="24"/>
          <w:szCs w:val="24"/>
        </w:rPr>
      </w:pPr>
    </w:p>
    <w:p w:rsidR="00DC3151" w:rsidRDefault="00DC3151" w:rsidP="00DC3151">
      <w:pPr>
        <w:spacing w:after="0" w:line="240" w:lineRule="auto"/>
        <w:rPr>
          <w:rFonts w:ascii="Times New Roman" w:hAnsi="Times New Roman" w:cs="Times New Roman"/>
          <w:sz w:val="24"/>
          <w:szCs w:val="24"/>
        </w:rPr>
      </w:pPr>
      <w:r w:rsidRPr="00AF0A34">
        <w:rPr>
          <w:rFonts w:ascii="Times New Roman" w:hAnsi="Times New Roman" w:cs="Times New Roman"/>
          <w:b/>
          <w:sz w:val="24"/>
          <w:szCs w:val="24"/>
        </w:rPr>
        <w:t>BACKGROUND</w:t>
      </w:r>
      <w:r w:rsidR="00AF0A34" w:rsidRPr="00AF0A34">
        <w:rPr>
          <w:rFonts w:ascii="Times New Roman" w:hAnsi="Times New Roman" w:cs="Times New Roman"/>
          <w:b/>
          <w:sz w:val="24"/>
          <w:szCs w:val="24"/>
        </w:rPr>
        <w:t xml:space="preserve"> AND PURPOSE</w:t>
      </w:r>
      <w:r w:rsidRPr="00AF0A34">
        <w:rPr>
          <w:rFonts w:ascii="Times New Roman" w:hAnsi="Times New Roman" w:cs="Times New Roman"/>
          <w:b/>
          <w:sz w:val="24"/>
          <w:szCs w:val="24"/>
        </w:rPr>
        <w:t>:</w:t>
      </w:r>
      <w:r w:rsidRPr="00DC3151">
        <w:rPr>
          <w:rFonts w:ascii="Times New Roman" w:hAnsi="Times New Roman" w:cs="Times New Roman"/>
          <w:sz w:val="24"/>
          <w:szCs w:val="24"/>
        </w:rPr>
        <w:t xml:space="preserve"> Falls are a significant cause of adverse health events</w:t>
      </w:r>
      <w:r w:rsidR="007F1B7A">
        <w:rPr>
          <w:rFonts w:ascii="Times New Roman" w:hAnsi="Times New Roman" w:cs="Times New Roman"/>
          <w:sz w:val="24"/>
          <w:szCs w:val="24"/>
        </w:rPr>
        <w:t>,</w:t>
      </w:r>
      <w:r w:rsidRPr="00DC3151">
        <w:rPr>
          <w:rFonts w:ascii="Times New Roman" w:hAnsi="Times New Roman" w:cs="Times New Roman"/>
          <w:sz w:val="24"/>
          <w:szCs w:val="24"/>
        </w:rPr>
        <w:t xml:space="preserve"> and up to 50% of community-dwelling elderly adults, aged 65 and older, report multiple falls per year.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 xml:space="preserve">Health conditions, such as diabetes mellitus and </w:t>
      </w:r>
      <w:proofErr w:type="spellStart"/>
      <w:r w:rsidRPr="00DC3151">
        <w:rPr>
          <w:rFonts w:ascii="Times New Roman" w:hAnsi="Times New Roman" w:cs="Times New Roman"/>
          <w:sz w:val="24"/>
          <w:szCs w:val="24"/>
        </w:rPr>
        <w:t>transtibial</w:t>
      </w:r>
      <w:proofErr w:type="spellEnd"/>
      <w:r w:rsidRPr="00DC3151">
        <w:rPr>
          <w:rFonts w:ascii="Times New Roman" w:hAnsi="Times New Roman" w:cs="Times New Roman"/>
          <w:sz w:val="24"/>
          <w:szCs w:val="24"/>
        </w:rPr>
        <w:t xml:space="preserve"> amputation, are additional factors that can contribute to an increased risk of falls.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 xml:space="preserve">Current research supports individualized exercise programs designed to target balance, gait, and strength deficits that influence participation and safety in community activities and activities of daily living.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 xml:space="preserve">However, there is limited evidence regarding a multi-systems approach to treatment addressing the complexity of patient presentations with a combination of diabetes mellitus and long-standing </w:t>
      </w:r>
      <w:proofErr w:type="spellStart"/>
      <w:r w:rsidRPr="00DC3151">
        <w:rPr>
          <w:rFonts w:ascii="Times New Roman" w:hAnsi="Times New Roman" w:cs="Times New Roman"/>
          <w:sz w:val="24"/>
          <w:szCs w:val="24"/>
        </w:rPr>
        <w:t>t</w:t>
      </w:r>
      <w:r w:rsidR="00AF0A34">
        <w:rPr>
          <w:rFonts w:ascii="Times New Roman" w:hAnsi="Times New Roman" w:cs="Times New Roman"/>
          <w:sz w:val="24"/>
          <w:szCs w:val="24"/>
        </w:rPr>
        <w:t>ranstibial</w:t>
      </w:r>
      <w:proofErr w:type="spellEnd"/>
      <w:r w:rsidR="00AF0A34">
        <w:rPr>
          <w:rFonts w:ascii="Times New Roman" w:hAnsi="Times New Roman" w:cs="Times New Roman"/>
          <w:sz w:val="24"/>
          <w:szCs w:val="24"/>
        </w:rPr>
        <w:t xml:space="preserve"> amputation.  </w:t>
      </w:r>
      <w:r w:rsidRPr="00DC3151">
        <w:rPr>
          <w:rFonts w:ascii="Times New Roman" w:hAnsi="Times New Roman" w:cs="Times New Roman"/>
          <w:sz w:val="24"/>
          <w:szCs w:val="24"/>
        </w:rPr>
        <w:t>The purpose of this case report</w:t>
      </w:r>
      <w:r w:rsidR="000B543C">
        <w:rPr>
          <w:rFonts w:ascii="Times New Roman" w:hAnsi="Times New Roman" w:cs="Times New Roman"/>
          <w:sz w:val="24"/>
          <w:szCs w:val="24"/>
        </w:rPr>
        <w:t xml:space="preserve"> was</w:t>
      </w:r>
      <w:r w:rsidRPr="00DC3151">
        <w:rPr>
          <w:rFonts w:ascii="Times New Roman" w:hAnsi="Times New Roman" w:cs="Times New Roman"/>
          <w:sz w:val="24"/>
          <w:szCs w:val="24"/>
        </w:rPr>
        <w:t xml:space="preserve"> to explore how an individualized exercise program for gait and balance training can be effectively used </w:t>
      </w:r>
      <w:r w:rsidR="000B543C">
        <w:rPr>
          <w:rFonts w:ascii="Times New Roman" w:hAnsi="Times New Roman" w:cs="Times New Roman"/>
          <w:sz w:val="24"/>
          <w:szCs w:val="24"/>
        </w:rPr>
        <w:t xml:space="preserve">as </w:t>
      </w:r>
      <w:r w:rsidRPr="00DC3151">
        <w:rPr>
          <w:rFonts w:ascii="Times New Roman" w:hAnsi="Times New Roman" w:cs="Times New Roman"/>
          <w:sz w:val="24"/>
          <w:szCs w:val="24"/>
        </w:rPr>
        <w:t xml:space="preserve">an intervention for increasing functional mobility and decreasing fall risk in a patient with diabetes mellitus and long-standing </w:t>
      </w:r>
      <w:proofErr w:type="spellStart"/>
      <w:r w:rsidRPr="00DC3151">
        <w:rPr>
          <w:rFonts w:ascii="Times New Roman" w:hAnsi="Times New Roman" w:cs="Times New Roman"/>
          <w:sz w:val="24"/>
          <w:szCs w:val="24"/>
        </w:rPr>
        <w:t>transtibial</w:t>
      </w:r>
      <w:proofErr w:type="spellEnd"/>
      <w:r w:rsidRPr="00DC3151">
        <w:rPr>
          <w:rFonts w:ascii="Times New Roman" w:hAnsi="Times New Roman" w:cs="Times New Roman"/>
          <w:sz w:val="24"/>
          <w:szCs w:val="24"/>
        </w:rPr>
        <w:t xml:space="preserve"> amputation. </w:t>
      </w:r>
      <w:r w:rsidR="00AF0A34">
        <w:rPr>
          <w:rFonts w:ascii="Times New Roman" w:hAnsi="Times New Roman" w:cs="Times New Roman"/>
          <w:sz w:val="24"/>
          <w:szCs w:val="24"/>
        </w:rPr>
        <w:t xml:space="preserve"> </w:t>
      </w:r>
      <w:r w:rsidRPr="00AF0A34">
        <w:rPr>
          <w:rFonts w:ascii="Times New Roman" w:hAnsi="Times New Roman" w:cs="Times New Roman"/>
          <w:b/>
          <w:sz w:val="24"/>
          <w:szCs w:val="24"/>
        </w:rPr>
        <w:t>CASE DESCRIPTION:</w:t>
      </w:r>
      <w:r w:rsidRPr="00DC3151">
        <w:rPr>
          <w:rFonts w:ascii="Times New Roman" w:hAnsi="Times New Roman" w:cs="Times New Roman"/>
          <w:sz w:val="24"/>
          <w:szCs w:val="24"/>
        </w:rPr>
        <w:t xml:space="preserve"> The patient </w:t>
      </w:r>
      <w:r w:rsidR="000B543C">
        <w:rPr>
          <w:rFonts w:ascii="Times New Roman" w:hAnsi="Times New Roman" w:cs="Times New Roman"/>
          <w:sz w:val="24"/>
          <w:szCs w:val="24"/>
        </w:rPr>
        <w:t>described in this case was a        78-year-</w:t>
      </w:r>
      <w:r w:rsidRPr="00DC3151">
        <w:rPr>
          <w:rFonts w:ascii="Times New Roman" w:hAnsi="Times New Roman" w:cs="Times New Roman"/>
          <w:sz w:val="24"/>
          <w:szCs w:val="24"/>
        </w:rPr>
        <w:t xml:space="preserve">old Caucasian male who presented with complaints of gait unsteadiness, bilateral lower extremity weakness, and balance deficits.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 xml:space="preserve">Additionally, the patient had a history of multiple </w:t>
      </w:r>
      <w:r w:rsidR="000B543C">
        <w:rPr>
          <w:rFonts w:ascii="Times New Roman" w:hAnsi="Times New Roman" w:cs="Times New Roman"/>
          <w:sz w:val="24"/>
          <w:szCs w:val="24"/>
        </w:rPr>
        <w:t xml:space="preserve">comorbidities </w:t>
      </w:r>
      <w:r w:rsidRPr="00DC3151">
        <w:rPr>
          <w:rFonts w:ascii="Times New Roman" w:hAnsi="Times New Roman" w:cs="Times New Roman"/>
          <w:sz w:val="24"/>
          <w:szCs w:val="24"/>
        </w:rPr>
        <w:t xml:space="preserve">including obesity, obstructive </w:t>
      </w:r>
      <w:proofErr w:type="spellStart"/>
      <w:r w:rsidRPr="00DC3151">
        <w:rPr>
          <w:rFonts w:ascii="Times New Roman" w:hAnsi="Times New Roman" w:cs="Times New Roman"/>
          <w:sz w:val="24"/>
          <w:szCs w:val="24"/>
        </w:rPr>
        <w:t>uropathy</w:t>
      </w:r>
      <w:proofErr w:type="spellEnd"/>
      <w:r w:rsidRPr="00DC3151">
        <w:rPr>
          <w:rFonts w:ascii="Times New Roman" w:hAnsi="Times New Roman" w:cs="Times New Roman"/>
          <w:sz w:val="24"/>
          <w:szCs w:val="24"/>
        </w:rPr>
        <w:t xml:space="preserve">, diabetes mellitus, peripheral neuropathy, hypertension, hyperlipidemia, coronary artery disease, congestive heart failure, diabetic nephropathy, and diabetic neuropathy.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The patient had a 20-year history o</w:t>
      </w:r>
      <w:r w:rsidR="000B543C">
        <w:rPr>
          <w:rFonts w:ascii="Times New Roman" w:hAnsi="Times New Roman" w:cs="Times New Roman"/>
          <w:sz w:val="24"/>
          <w:szCs w:val="24"/>
        </w:rPr>
        <w:t xml:space="preserve">f right </w:t>
      </w:r>
      <w:proofErr w:type="spellStart"/>
      <w:r w:rsidR="000B543C">
        <w:rPr>
          <w:rFonts w:ascii="Times New Roman" w:hAnsi="Times New Roman" w:cs="Times New Roman"/>
          <w:sz w:val="24"/>
          <w:szCs w:val="24"/>
        </w:rPr>
        <w:t>transtibial</w:t>
      </w:r>
      <w:proofErr w:type="spellEnd"/>
      <w:r w:rsidR="000B543C">
        <w:rPr>
          <w:rFonts w:ascii="Times New Roman" w:hAnsi="Times New Roman" w:cs="Times New Roman"/>
          <w:sz w:val="24"/>
          <w:szCs w:val="24"/>
        </w:rPr>
        <w:t xml:space="preserve"> amputation </w:t>
      </w:r>
      <w:r w:rsidRPr="00DC3151">
        <w:rPr>
          <w:rFonts w:ascii="Times New Roman" w:hAnsi="Times New Roman" w:cs="Times New Roman"/>
          <w:sz w:val="24"/>
          <w:szCs w:val="24"/>
        </w:rPr>
        <w:t xml:space="preserve">secondary to clear cell sarcoma.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The patient was found to have dif</w:t>
      </w:r>
      <w:r w:rsidR="000B543C">
        <w:rPr>
          <w:rFonts w:ascii="Times New Roman" w:hAnsi="Times New Roman" w:cs="Times New Roman"/>
          <w:sz w:val="24"/>
          <w:szCs w:val="24"/>
        </w:rPr>
        <w:t>ficulty with challenges to his</w:t>
      </w:r>
      <w:r w:rsidRPr="00DC3151">
        <w:rPr>
          <w:rFonts w:ascii="Times New Roman" w:hAnsi="Times New Roman" w:cs="Times New Roman"/>
          <w:sz w:val="24"/>
          <w:szCs w:val="24"/>
        </w:rPr>
        <w:t xml:space="preserve"> base of support and demonstrated functional lower extremity strength and flexibility deficits.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Along with the results of outcome measures, including the Modified Clinical Test of Sensory Interaction on Balance (</w:t>
      </w:r>
      <w:proofErr w:type="spellStart"/>
      <w:r w:rsidRPr="00DC3151">
        <w:rPr>
          <w:rFonts w:ascii="Times New Roman" w:hAnsi="Times New Roman" w:cs="Times New Roman"/>
          <w:sz w:val="24"/>
          <w:szCs w:val="24"/>
        </w:rPr>
        <w:t>mCTSIB</w:t>
      </w:r>
      <w:proofErr w:type="spellEnd"/>
      <w:r w:rsidRPr="00DC3151">
        <w:rPr>
          <w:rFonts w:ascii="Times New Roman" w:hAnsi="Times New Roman" w:cs="Times New Roman"/>
          <w:sz w:val="24"/>
          <w:szCs w:val="24"/>
        </w:rPr>
        <w:t>), 30-second chair stand test, ta</w:t>
      </w:r>
      <w:r w:rsidR="000B543C">
        <w:rPr>
          <w:rFonts w:ascii="Times New Roman" w:hAnsi="Times New Roman" w:cs="Times New Roman"/>
          <w:sz w:val="24"/>
          <w:szCs w:val="24"/>
        </w:rPr>
        <w:t>ndem Romberg balance test, Timed Up and Go Test, and 10-</w:t>
      </w:r>
      <w:r w:rsidRPr="00DC3151">
        <w:rPr>
          <w:rFonts w:ascii="Times New Roman" w:hAnsi="Times New Roman" w:cs="Times New Roman"/>
          <w:sz w:val="24"/>
          <w:szCs w:val="24"/>
        </w:rPr>
        <w:t>meter walk test, these findings suggested that the patient was dependent on the visual system for balance and was at an increas</w:t>
      </w:r>
      <w:r w:rsidR="00AF0A34">
        <w:rPr>
          <w:rFonts w:ascii="Times New Roman" w:hAnsi="Times New Roman" w:cs="Times New Roman"/>
          <w:sz w:val="24"/>
          <w:szCs w:val="24"/>
        </w:rPr>
        <w:t>ed risk for falls.</w:t>
      </w:r>
      <w:r w:rsidRPr="00DC3151">
        <w:rPr>
          <w:rFonts w:ascii="Times New Roman" w:hAnsi="Times New Roman" w:cs="Times New Roman"/>
          <w:sz w:val="24"/>
          <w:szCs w:val="24"/>
        </w:rPr>
        <w:t xml:space="preserve">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 xml:space="preserve">The patient attended a total of 14 outpatient physical therapy sessions over the course of two months.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 xml:space="preserve">Interventions included strengthening exercises for </w:t>
      </w:r>
      <w:r w:rsidR="000B543C">
        <w:rPr>
          <w:rFonts w:ascii="Times New Roman" w:hAnsi="Times New Roman" w:cs="Times New Roman"/>
          <w:sz w:val="24"/>
          <w:szCs w:val="24"/>
        </w:rPr>
        <w:t xml:space="preserve">his </w:t>
      </w:r>
      <w:r w:rsidRPr="00DC3151">
        <w:rPr>
          <w:rFonts w:ascii="Times New Roman" w:hAnsi="Times New Roman" w:cs="Times New Roman"/>
          <w:sz w:val="24"/>
          <w:szCs w:val="24"/>
        </w:rPr>
        <w:t xml:space="preserve">bilateral hip, knee, and ankle musculature and flexibility training with an emphasis on </w:t>
      </w:r>
      <w:r w:rsidR="000B543C">
        <w:rPr>
          <w:rFonts w:ascii="Times New Roman" w:hAnsi="Times New Roman" w:cs="Times New Roman"/>
          <w:sz w:val="24"/>
          <w:szCs w:val="24"/>
        </w:rPr>
        <w:t xml:space="preserve">his </w:t>
      </w:r>
      <w:r w:rsidRPr="00DC3151">
        <w:rPr>
          <w:rFonts w:ascii="Times New Roman" w:hAnsi="Times New Roman" w:cs="Times New Roman"/>
          <w:sz w:val="24"/>
          <w:szCs w:val="24"/>
        </w:rPr>
        <w:t xml:space="preserve">bilateral hamstrings, hip flexors, IT bands, gastrocnemius, and lumbar </w:t>
      </w:r>
      <w:proofErr w:type="spellStart"/>
      <w:r w:rsidRPr="00DC3151">
        <w:rPr>
          <w:rFonts w:ascii="Times New Roman" w:hAnsi="Times New Roman" w:cs="Times New Roman"/>
          <w:sz w:val="24"/>
          <w:szCs w:val="24"/>
        </w:rPr>
        <w:t>paraspinals</w:t>
      </w:r>
      <w:proofErr w:type="spellEnd"/>
      <w:r w:rsidRPr="00DC3151">
        <w:rPr>
          <w:rFonts w:ascii="Times New Roman" w:hAnsi="Times New Roman" w:cs="Times New Roman"/>
          <w:sz w:val="24"/>
          <w:szCs w:val="24"/>
        </w:rPr>
        <w:t xml:space="preserve">.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Multis</w:t>
      </w:r>
      <w:r w:rsidR="00DF3B5A">
        <w:rPr>
          <w:rFonts w:ascii="Times New Roman" w:hAnsi="Times New Roman" w:cs="Times New Roman"/>
          <w:sz w:val="24"/>
          <w:szCs w:val="24"/>
        </w:rPr>
        <w:t>ensory balance training included</w:t>
      </w:r>
      <w:r w:rsidRPr="00DC3151">
        <w:rPr>
          <w:rFonts w:ascii="Times New Roman" w:hAnsi="Times New Roman" w:cs="Times New Roman"/>
          <w:sz w:val="24"/>
          <w:szCs w:val="24"/>
        </w:rPr>
        <w:t xml:space="preserve"> conditions 1-4 of the </w:t>
      </w:r>
      <w:proofErr w:type="spellStart"/>
      <w:r w:rsidRPr="00DC3151">
        <w:rPr>
          <w:rFonts w:ascii="Times New Roman" w:hAnsi="Times New Roman" w:cs="Times New Roman"/>
          <w:sz w:val="24"/>
          <w:szCs w:val="24"/>
        </w:rPr>
        <w:t>mCTSIB</w:t>
      </w:r>
      <w:proofErr w:type="spellEnd"/>
      <w:r w:rsidRPr="00DC3151">
        <w:rPr>
          <w:rFonts w:ascii="Times New Roman" w:hAnsi="Times New Roman" w:cs="Times New Roman"/>
          <w:sz w:val="24"/>
          <w:szCs w:val="24"/>
        </w:rPr>
        <w:t xml:space="preserve">, tandem Romberg, and single leg standing exercises.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 xml:space="preserve">Gait training included assistive device training, stair climbing, resisted walking, and obstacle courses.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Due to the patient’s multi-system hea</w:t>
      </w:r>
      <w:r w:rsidR="000B543C">
        <w:rPr>
          <w:rFonts w:ascii="Times New Roman" w:hAnsi="Times New Roman" w:cs="Times New Roman"/>
          <w:sz w:val="24"/>
          <w:szCs w:val="24"/>
        </w:rPr>
        <w:t xml:space="preserve">lth issues, educational issues </w:t>
      </w:r>
      <w:r w:rsidRPr="00DC3151">
        <w:rPr>
          <w:rFonts w:ascii="Times New Roman" w:hAnsi="Times New Roman" w:cs="Times New Roman"/>
          <w:sz w:val="24"/>
          <w:szCs w:val="24"/>
        </w:rPr>
        <w:t xml:space="preserve">including blood glucose monitoring, nutrition, lymphedema, use of assistive devices, and compliance with the home exercise program, were also addressed. </w:t>
      </w:r>
      <w:r w:rsidR="00AF0A34">
        <w:rPr>
          <w:rFonts w:ascii="Times New Roman" w:hAnsi="Times New Roman" w:cs="Times New Roman"/>
          <w:sz w:val="24"/>
          <w:szCs w:val="24"/>
        </w:rPr>
        <w:t xml:space="preserve"> </w:t>
      </w:r>
      <w:r w:rsidRPr="00AF0A34">
        <w:rPr>
          <w:rFonts w:ascii="Times New Roman" w:hAnsi="Times New Roman" w:cs="Times New Roman"/>
          <w:b/>
          <w:sz w:val="24"/>
          <w:szCs w:val="24"/>
        </w:rPr>
        <w:t>OUTCOMES:</w:t>
      </w:r>
      <w:r w:rsidRPr="00DC3151">
        <w:rPr>
          <w:rFonts w:ascii="Times New Roman" w:hAnsi="Times New Roman" w:cs="Times New Roman"/>
          <w:sz w:val="24"/>
          <w:szCs w:val="24"/>
        </w:rPr>
        <w:t xml:space="preserve"> At the conclusion of the episode of care, the patient had met </w:t>
      </w:r>
      <w:r w:rsidR="000B543C">
        <w:rPr>
          <w:rFonts w:ascii="Times New Roman" w:hAnsi="Times New Roman" w:cs="Times New Roman"/>
          <w:sz w:val="24"/>
          <w:szCs w:val="24"/>
        </w:rPr>
        <w:t>5 of 6 therapy goals and reported</w:t>
      </w:r>
      <w:r w:rsidRPr="00DC3151">
        <w:rPr>
          <w:rFonts w:ascii="Times New Roman" w:hAnsi="Times New Roman" w:cs="Times New Roman"/>
          <w:sz w:val="24"/>
          <w:szCs w:val="24"/>
        </w:rPr>
        <w:t xml:space="preserve"> self-satisfaction with improvements in balance, gait, and ADL performance.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 xml:space="preserve">The patient was discharged from physical therapy with a home exercise program focused on continued balance, strength, and flexibility improvements. </w:t>
      </w:r>
      <w:r w:rsidR="00AF0A34">
        <w:rPr>
          <w:rFonts w:ascii="Times New Roman" w:hAnsi="Times New Roman" w:cs="Times New Roman"/>
          <w:sz w:val="24"/>
          <w:szCs w:val="24"/>
        </w:rPr>
        <w:t xml:space="preserve"> </w:t>
      </w:r>
      <w:r w:rsidRPr="00AF0A34">
        <w:rPr>
          <w:rFonts w:ascii="Times New Roman" w:hAnsi="Times New Roman" w:cs="Times New Roman"/>
          <w:b/>
          <w:sz w:val="24"/>
          <w:szCs w:val="24"/>
        </w:rPr>
        <w:t>DISCUSSION:</w:t>
      </w:r>
      <w:r w:rsidR="00DF3B5A">
        <w:rPr>
          <w:rFonts w:ascii="Times New Roman" w:hAnsi="Times New Roman" w:cs="Times New Roman"/>
          <w:sz w:val="24"/>
          <w:szCs w:val="24"/>
        </w:rPr>
        <w:t xml:space="preserve"> This </w:t>
      </w:r>
      <w:r w:rsidR="000B543C">
        <w:rPr>
          <w:rFonts w:ascii="Times New Roman" w:hAnsi="Times New Roman" w:cs="Times New Roman"/>
          <w:sz w:val="24"/>
          <w:szCs w:val="24"/>
        </w:rPr>
        <w:t xml:space="preserve">case </w:t>
      </w:r>
      <w:r w:rsidR="00DF3B5A">
        <w:rPr>
          <w:rFonts w:ascii="Times New Roman" w:hAnsi="Times New Roman" w:cs="Times New Roman"/>
          <w:sz w:val="24"/>
          <w:szCs w:val="24"/>
        </w:rPr>
        <w:t>report</w:t>
      </w:r>
      <w:r w:rsidRPr="00DC3151">
        <w:rPr>
          <w:rFonts w:ascii="Times New Roman" w:hAnsi="Times New Roman" w:cs="Times New Roman"/>
          <w:sz w:val="24"/>
          <w:szCs w:val="24"/>
        </w:rPr>
        <w:t xml:space="preserve"> adds to the current literature, suggesting favorable outcomes using targeted and individualized exercise programs to address balance, gait, and strength deficits in a patient with multiple health conditions. </w:t>
      </w:r>
      <w:r w:rsidR="00AF0A34">
        <w:rPr>
          <w:rFonts w:ascii="Times New Roman" w:hAnsi="Times New Roman" w:cs="Times New Roman"/>
          <w:sz w:val="24"/>
          <w:szCs w:val="24"/>
        </w:rPr>
        <w:t xml:space="preserve"> </w:t>
      </w:r>
      <w:r w:rsidRPr="00DC3151">
        <w:rPr>
          <w:rFonts w:ascii="Times New Roman" w:hAnsi="Times New Roman" w:cs="Times New Roman"/>
          <w:sz w:val="24"/>
          <w:szCs w:val="24"/>
        </w:rPr>
        <w:t xml:space="preserve">Further research is needed to establish evidence regarding the efficacy of balance and gait training as an intervention for treating patients with long-standing non-diabetic </w:t>
      </w:r>
      <w:proofErr w:type="spellStart"/>
      <w:r w:rsidRPr="00DC3151">
        <w:rPr>
          <w:rFonts w:ascii="Times New Roman" w:hAnsi="Times New Roman" w:cs="Times New Roman"/>
          <w:sz w:val="24"/>
          <w:szCs w:val="24"/>
        </w:rPr>
        <w:t>transtibial</w:t>
      </w:r>
      <w:proofErr w:type="spellEnd"/>
      <w:r w:rsidRPr="00DC3151">
        <w:rPr>
          <w:rFonts w:ascii="Times New Roman" w:hAnsi="Times New Roman" w:cs="Times New Roman"/>
          <w:sz w:val="24"/>
          <w:szCs w:val="24"/>
        </w:rPr>
        <w:t xml:space="preserve"> amputation and comorbid diabetes.</w:t>
      </w:r>
    </w:p>
    <w:p w:rsidR="00DC3151" w:rsidRDefault="00DC3151" w:rsidP="00415767">
      <w:pPr>
        <w:spacing w:after="0" w:line="240" w:lineRule="auto"/>
        <w:rPr>
          <w:rFonts w:ascii="Times New Roman" w:hAnsi="Times New Roman" w:cs="Times New Roman"/>
          <w:sz w:val="24"/>
          <w:szCs w:val="24"/>
        </w:rPr>
      </w:pPr>
    </w:p>
    <w:p w:rsidR="00DC3151" w:rsidRDefault="00DC3151" w:rsidP="00415767">
      <w:pPr>
        <w:spacing w:after="0" w:line="240" w:lineRule="auto"/>
        <w:rPr>
          <w:rFonts w:ascii="Times New Roman" w:hAnsi="Times New Roman" w:cs="Times New Roman"/>
          <w:sz w:val="24"/>
          <w:szCs w:val="24"/>
        </w:rPr>
      </w:pPr>
    </w:p>
    <w:p w:rsidR="00415767" w:rsidRPr="003D6724" w:rsidRDefault="00415767" w:rsidP="00415767">
      <w:pPr>
        <w:spacing w:after="0" w:line="240" w:lineRule="auto"/>
        <w:rPr>
          <w:rFonts w:ascii="Times New Roman" w:hAnsi="Times New Roman" w:cs="Times New Roman"/>
          <w:b/>
          <w:sz w:val="24"/>
          <w:szCs w:val="24"/>
        </w:rPr>
      </w:pPr>
      <w:r w:rsidRPr="003D6724">
        <w:rPr>
          <w:rFonts w:ascii="Times New Roman" w:hAnsi="Times New Roman" w:cs="Times New Roman"/>
          <w:b/>
          <w:sz w:val="24"/>
          <w:szCs w:val="24"/>
        </w:rPr>
        <w:lastRenderedPageBreak/>
        <w:t>LOW BACK PAIN AND OSTEOPOROSIS POST-LUMBAR FUSION AND THORACIC VE</w:t>
      </w:r>
      <w:r w:rsidR="003D6724">
        <w:rPr>
          <w:rFonts w:ascii="Times New Roman" w:hAnsi="Times New Roman" w:cs="Times New Roman"/>
          <w:b/>
          <w:sz w:val="24"/>
          <w:szCs w:val="24"/>
        </w:rPr>
        <w:t xml:space="preserve">RTEBROPLASTIES: A CASE REPORT. </w:t>
      </w:r>
      <w:r w:rsidRPr="00415767">
        <w:rPr>
          <w:rFonts w:ascii="Times New Roman" w:hAnsi="Times New Roman" w:cs="Times New Roman"/>
          <w:sz w:val="24"/>
          <w:szCs w:val="24"/>
        </w:rPr>
        <w:t>Brinker</w:t>
      </w:r>
      <w:r w:rsidR="003D6724">
        <w:rPr>
          <w:rFonts w:ascii="Times New Roman" w:hAnsi="Times New Roman" w:cs="Times New Roman"/>
          <w:sz w:val="24"/>
          <w:szCs w:val="24"/>
        </w:rPr>
        <w:t xml:space="preserve"> KM, Peck J; Grand Valley State </w:t>
      </w:r>
      <w:r w:rsidRPr="00415767">
        <w:rPr>
          <w:rFonts w:ascii="Times New Roman" w:hAnsi="Times New Roman" w:cs="Times New Roman"/>
          <w:sz w:val="24"/>
          <w:szCs w:val="24"/>
        </w:rPr>
        <w:t xml:space="preserve">University, Grand Rapids, MI. </w:t>
      </w:r>
    </w:p>
    <w:p w:rsidR="00415767" w:rsidRPr="00415767" w:rsidRDefault="00415767" w:rsidP="00415767">
      <w:pPr>
        <w:spacing w:after="0" w:line="240" w:lineRule="auto"/>
        <w:rPr>
          <w:rFonts w:ascii="Times New Roman" w:hAnsi="Times New Roman" w:cs="Times New Roman"/>
          <w:sz w:val="24"/>
          <w:szCs w:val="24"/>
        </w:rPr>
      </w:pPr>
    </w:p>
    <w:p w:rsidR="00DC3151" w:rsidRPr="00DC3151" w:rsidRDefault="00415767" w:rsidP="00DC3151">
      <w:pPr>
        <w:spacing w:after="0" w:line="240" w:lineRule="auto"/>
        <w:rPr>
          <w:rFonts w:ascii="Times New Roman" w:hAnsi="Times New Roman" w:cs="Times New Roman"/>
          <w:sz w:val="24"/>
          <w:szCs w:val="24"/>
        </w:rPr>
      </w:pPr>
      <w:r w:rsidRPr="00683486">
        <w:rPr>
          <w:rFonts w:ascii="Times New Roman" w:hAnsi="Times New Roman" w:cs="Times New Roman"/>
          <w:b/>
          <w:sz w:val="24"/>
          <w:szCs w:val="24"/>
        </w:rPr>
        <w:t>BACKGROUND AND PURPOSE:</w:t>
      </w:r>
      <w:r w:rsidRPr="00415767">
        <w:rPr>
          <w:rFonts w:ascii="Times New Roman" w:hAnsi="Times New Roman" w:cs="Times New Roman"/>
          <w:sz w:val="24"/>
          <w:szCs w:val="24"/>
        </w:rPr>
        <w:t xml:space="preserve"> In</w:t>
      </w:r>
      <w:r w:rsidR="002865DB">
        <w:rPr>
          <w:rFonts w:ascii="Times New Roman" w:hAnsi="Times New Roman" w:cs="Times New Roman"/>
          <w:sz w:val="24"/>
          <w:szCs w:val="24"/>
        </w:rPr>
        <w:t xml:space="preserve"> 2012, 29% of adults in the United States reported low back pain </w:t>
      </w:r>
      <w:r w:rsidRPr="00415767">
        <w:rPr>
          <w:rFonts w:ascii="Times New Roman" w:hAnsi="Times New Roman" w:cs="Times New Roman"/>
          <w:sz w:val="24"/>
          <w:szCs w:val="24"/>
        </w:rPr>
        <w:t xml:space="preserve">with highest prevalence between the ages of 40-64.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Lumbar fusion is a common procedure performed to treat degenerative and instability issues in the spine.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After a fusion, adjacent segments are more prone to increased </w:t>
      </w:r>
      <w:proofErr w:type="spellStart"/>
      <w:r w:rsidRPr="00415767">
        <w:rPr>
          <w:rFonts w:ascii="Times New Roman" w:hAnsi="Times New Roman" w:cs="Times New Roman"/>
          <w:sz w:val="24"/>
          <w:szCs w:val="24"/>
        </w:rPr>
        <w:t>intradiscal</w:t>
      </w:r>
      <w:proofErr w:type="spellEnd"/>
      <w:r w:rsidRPr="00415767">
        <w:rPr>
          <w:rFonts w:ascii="Times New Roman" w:hAnsi="Times New Roman" w:cs="Times New Roman"/>
          <w:sz w:val="24"/>
          <w:szCs w:val="24"/>
        </w:rPr>
        <w:t xml:space="preserve"> pressure and degeneration. </w:t>
      </w:r>
      <w:r w:rsidR="00683486">
        <w:rPr>
          <w:rFonts w:ascii="Times New Roman" w:hAnsi="Times New Roman" w:cs="Times New Roman"/>
          <w:sz w:val="24"/>
          <w:szCs w:val="24"/>
        </w:rPr>
        <w:t xml:space="preserve"> </w:t>
      </w:r>
      <w:proofErr w:type="spellStart"/>
      <w:r w:rsidRPr="00415767">
        <w:rPr>
          <w:rFonts w:ascii="Times New Roman" w:hAnsi="Times New Roman" w:cs="Times New Roman"/>
          <w:sz w:val="24"/>
          <w:szCs w:val="24"/>
        </w:rPr>
        <w:t>Vertebroplasty</w:t>
      </w:r>
      <w:proofErr w:type="spellEnd"/>
      <w:r w:rsidRPr="00415767">
        <w:rPr>
          <w:rFonts w:ascii="Times New Roman" w:hAnsi="Times New Roman" w:cs="Times New Roman"/>
          <w:sz w:val="24"/>
          <w:szCs w:val="24"/>
        </w:rPr>
        <w:t xml:space="preserve"> is commonly used to treat osteoporotic vertebral fractures and may be followed by multiple complications.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The purpose of </w:t>
      </w:r>
      <w:r w:rsidR="002865DB">
        <w:rPr>
          <w:rFonts w:ascii="Times New Roman" w:hAnsi="Times New Roman" w:cs="Times New Roman"/>
          <w:sz w:val="24"/>
          <w:szCs w:val="24"/>
        </w:rPr>
        <w:t>this case report was</w:t>
      </w:r>
      <w:r w:rsidRPr="00415767">
        <w:rPr>
          <w:rFonts w:ascii="Times New Roman" w:hAnsi="Times New Roman" w:cs="Times New Roman"/>
          <w:sz w:val="24"/>
          <w:szCs w:val="24"/>
        </w:rPr>
        <w:t xml:space="preserve"> to describe and provide rationale for the evaluation and treatment of an individual with low back pain and an extensive medical/surgical history. </w:t>
      </w:r>
      <w:r w:rsidR="00683486">
        <w:rPr>
          <w:rFonts w:ascii="Times New Roman" w:hAnsi="Times New Roman" w:cs="Times New Roman"/>
          <w:sz w:val="24"/>
          <w:szCs w:val="24"/>
        </w:rPr>
        <w:t xml:space="preserve"> </w:t>
      </w:r>
      <w:r w:rsidRPr="00683486">
        <w:rPr>
          <w:rFonts w:ascii="Times New Roman" w:hAnsi="Times New Roman" w:cs="Times New Roman"/>
          <w:b/>
          <w:sz w:val="24"/>
          <w:szCs w:val="24"/>
        </w:rPr>
        <w:t>CASE DESCRIPTION:</w:t>
      </w:r>
      <w:r w:rsidRPr="00415767">
        <w:rPr>
          <w:rFonts w:ascii="Times New Roman" w:hAnsi="Times New Roman" w:cs="Times New Roman"/>
          <w:sz w:val="24"/>
          <w:szCs w:val="24"/>
        </w:rPr>
        <w:t xml:space="preserve"> The patient was a 69-year-old Caucasian female with low back pain and occasional left lower extremity pain of two months duration.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She was two years post-operative L4-5 </w:t>
      </w:r>
      <w:proofErr w:type="spellStart"/>
      <w:r w:rsidRPr="00415767">
        <w:rPr>
          <w:rFonts w:ascii="Times New Roman" w:hAnsi="Times New Roman" w:cs="Times New Roman"/>
          <w:sz w:val="24"/>
          <w:szCs w:val="24"/>
        </w:rPr>
        <w:t>transpedicular</w:t>
      </w:r>
      <w:proofErr w:type="spellEnd"/>
      <w:r w:rsidRPr="00415767">
        <w:rPr>
          <w:rFonts w:ascii="Times New Roman" w:hAnsi="Times New Roman" w:cs="Times New Roman"/>
          <w:sz w:val="24"/>
          <w:szCs w:val="24"/>
        </w:rPr>
        <w:t xml:space="preserve"> decompression, </w:t>
      </w:r>
      <w:proofErr w:type="spellStart"/>
      <w:r w:rsidRPr="00415767">
        <w:rPr>
          <w:rFonts w:ascii="Times New Roman" w:hAnsi="Times New Roman" w:cs="Times New Roman"/>
          <w:sz w:val="24"/>
          <w:szCs w:val="24"/>
        </w:rPr>
        <w:t>facetectomy</w:t>
      </w:r>
      <w:proofErr w:type="spellEnd"/>
      <w:r w:rsidRPr="00415767">
        <w:rPr>
          <w:rFonts w:ascii="Times New Roman" w:hAnsi="Times New Roman" w:cs="Times New Roman"/>
          <w:sz w:val="24"/>
          <w:szCs w:val="24"/>
        </w:rPr>
        <w:t xml:space="preserve">, </w:t>
      </w:r>
      <w:proofErr w:type="spellStart"/>
      <w:r w:rsidRPr="00415767">
        <w:rPr>
          <w:rFonts w:ascii="Times New Roman" w:hAnsi="Times New Roman" w:cs="Times New Roman"/>
          <w:sz w:val="24"/>
          <w:szCs w:val="24"/>
        </w:rPr>
        <w:t>transforaminal</w:t>
      </w:r>
      <w:proofErr w:type="spellEnd"/>
      <w:r w:rsidRPr="00415767">
        <w:rPr>
          <w:rFonts w:ascii="Times New Roman" w:hAnsi="Times New Roman" w:cs="Times New Roman"/>
          <w:sz w:val="24"/>
          <w:szCs w:val="24"/>
        </w:rPr>
        <w:t xml:space="preserve"> lumbar interbody fusion (TLIF), and posterolateral fusion.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She also had a history of </w:t>
      </w:r>
      <w:proofErr w:type="spellStart"/>
      <w:r w:rsidRPr="00415767">
        <w:rPr>
          <w:rFonts w:ascii="Times New Roman" w:hAnsi="Times New Roman" w:cs="Times New Roman"/>
          <w:sz w:val="24"/>
          <w:szCs w:val="24"/>
        </w:rPr>
        <w:t>vertebroplasties</w:t>
      </w:r>
      <w:proofErr w:type="spellEnd"/>
      <w:r w:rsidRPr="00415767">
        <w:rPr>
          <w:rFonts w:ascii="Times New Roman" w:hAnsi="Times New Roman" w:cs="Times New Roman"/>
          <w:sz w:val="24"/>
          <w:szCs w:val="24"/>
        </w:rPr>
        <w:t xml:space="preserve"> at T8, 9, and 11 for compression fracture treatment.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Her medical history was significant f</w:t>
      </w:r>
      <w:r w:rsidR="002865DB">
        <w:rPr>
          <w:rFonts w:ascii="Times New Roman" w:hAnsi="Times New Roman" w:cs="Times New Roman"/>
          <w:sz w:val="24"/>
          <w:szCs w:val="24"/>
        </w:rPr>
        <w:t>or coronary artery disease</w:t>
      </w:r>
      <w:r w:rsidRPr="00415767">
        <w:rPr>
          <w:rFonts w:ascii="Times New Roman" w:hAnsi="Times New Roman" w:cs="Times New Roman"/>
          <w:sz w:val="24"/>
          <w:szCs w:val="24"/>
        </w:rPr>
        <w:t xml:space="preserve">, depression, arthritis, thyroid dysfunction, fibromyalgia, osteoporosis, Crohn’s disease, and previous hepatitis A.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The patient’s symptoms worsened with bending, prolonged standing, and walking more than 20 minutes.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Her symptoms improved with lying down, aquatic exercise, and a home TENS unit.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Functional difficulties included lifting, carrying, hair washing, yard work, and sleeping.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Upon initial physical therapy (PT) evaluation, she presented with major loss of lumbar extension and moderate loss of side gliding bilaterally.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Lumbar extension caused increased bilateral low back pain, left side gliding caused increased left low back pain, and right side gliding did not cause increased pain.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Her initial Roland-Morris Disability Questionnaire (RMDQ) score was 16/24.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The patient did not present with a clear PT diagnosis and had multiple adjacent segment dysfunctions according to magnetic resonance imaging (MRI).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 xml:space="preserve">Interventions were based on a neutral core stability program focusing on transverse abdominis </w:t>
      </w:r>
      <w:r w:rsidR="002865DB">
        <w:rPr>
          <w:rFonts w:ascii="Times New Roman" w:hAnsi="Times New Roman" w:cs="Times New Roman"/>
          <w:sz w:val="24"/>
          <w:szCs w:val="24"/>
        </w:rPr>
        <w:t xml:space="preserve">(TA) </w:t>
      </w:r>
      <w:r w:rsidRPr="00415767">
        <w:rPr>
          <w:rFonts w:ascii="Times New Roman" w:hAnsi="Times New Roman" w:cs="Times New Roman"/>
          <w:sz w:val="24"/>
          <w:szCs w:val="24"/>
        </w:rPr>
        <w:t xml:space="preserve">contractions during a variety of activities. </w:t>
      </w:r>
      <w:r w:rsidR="00683486">
        <w:rPr>
          <w:rFonts w:ascii="Times New Roman" w:hAnsi="Times New Roman" w:cs="Times New Roman"/>
          <w:sz w:val="24"/>
          <w:szCs w:val="24"/>
        </w:rPr>
        <w:t xml:space="preserve"> </w:t>
      </w:r>
      <w:r w:rsidRPr="00415767">
        <w:rPr>
          <w:rFonts w:ascii="Times New Roman" w:hAnsi="Times New Roman" w:cs="Times New Roman"/>
          <w:sz w:val="24"/>
          <w:szCs w:val="24"/>
        </w:rPr>
        <w:t>She was given an init</w:t>
      </w:r>
      <w:r w:rsidR="002865DB">
        <w:rPr>
          <w:rFonts w:ascii="Times New Roman" w:hAnsi="Times New Roman" w:cs="Times New Roman"/>
          <w:sz w:val="24"/>
          <w:szCs w:val="24"/>
        </w:rPr>
        <w:t xml:space="preserve">ial home exercise program </w:t>
      </w:r>
      <w:r w:rsidRPr="00415767">
        <w:rPr>
          <w:rFonts w:ascii="Times New Roman" w:hAnsi="Times New Roman" w:cs="Times New Roman"/>
          <w:sz w:val="24"/>
          <w:szCs w:val="24"/>
        </w:rPr>
        <w:t xml:space="preserve">that was modified at each subsequent PT session. </w:t>
      </w:r>
      <w:r w:rsidR="00EB4772">
        <w:rPr>
          <w:rFonts w:ascii="Times New Roman" w:hAnsi="Times New Roman" w:cs="Times New Roman"/>
          <w:sz w:val="24"/>
          <w:szCs w:val="24"/>
        </w:rPr>
        <w:t xml:space="preserve"> </w:t>
      </w:r>
      <w:r w:rsidRPr="00683486">
        <w:rPr>
          <w:rFonts w:ascii="Times New Roman" w:hAnsi="Times New Roman" w:cs="Times New Roman"/>
          <w:b/>
          <w:sz w:val="24"/>
          <w:szCs w:val="24"/>
        </w:rPr>
        <w:t>OUTCOMES:</w:t>
      </w:r>
      <w:r w:rsidRPr="00415767">
        <w:rPr>
          <w:rFonts w:ascii="Times New Roman" w:hAnsi="Times New Roman" w:cs="Times New Roman"/>
          <w:sz w:val="24"/>
          <w:szCs w:val="24"/>
        </w:rPr>
        <w:t xml:space="preserve"> The patient was seen for 6 sessions over a period of 47 days. </w:t>
      </w:r>
      <w:r w:rsidR="00EB4772">
        <w:rPr>
          <w:rFonts w:ascii="Times New Roman" w:hAnsi="Times New Roman" w:cs="Times New Roman"/>
          <w:sz w:val="24"/>
          <w:szCs w:val="24"/>
        </w:rPr>
        <w:t xml:space="preserve"> </w:t>
      </w:r>
      <w:r w:rsidRPr="00415767">
        <w:rPr>
          <w:rFonts w:ascii="Times New Roman" w:hAnsi="Times New Roman" w:cs="Times New Roman"/>
          <w:sz w:val="24"/>
          <w:szCs w:val="24"/>
        </w:rPr>
        <w:t xml:space="preserve">She continued to demonstrate decreased lumbar extension and side gliding range of motion with few pain changes. </w:t>
      </w:r>
      <w:r w:rsidR="00EB4772">
        <w:rPr>
          <w:rFonts w:ascii="Times New Roman" w:hAnsi="Times New Roman" w:cs="Times New Roman"/>
          <w:sz w:val="24"/>
          <w:szCs w:val="24"/>
        </w:rPr>
        <w:t xml:space="preserve"> </w:t>
      </w:r>
      <w:r w:rsidRPr="00415767">
        <w:rPr>
          <w:rFonts w:ascii="Times New Roman" w:hAnsi="Times New Roman" w:cs="Times New Roman"/>
          <w:sz w:val="24"/>
          <w:szCs w:val="24"/>
        </w:rPr>
        <w:t xml:space="preserve">However, she did report no pain while on vacation during this timeframe. </w:t>
      </w:r>
      <w:r w:rsidR="00EB4772">
        <w:rPr>
          <w:rFonts w:ascii="Times New Roman" w:hAnsi="Times New Roman" w:cs="Times New Roman"/>
          <w:sz w:val="24"/>
          <w:szCs w:val="24"/>
        </w:rPr>
        <w:t xml:space="preserve"> </w:t>
      </w:r>
      <w:r w:rsidRPr="00415767">
        <w:rPr>
          <w:rFonts w:ascii="Times New Roman" w:hAnsi="Times New Roman" w:cs="Times New Roman"/>
          <w:sz w:val="24"/>
          <w:szCs w:val="24"/>
        </w:rPr>
        <w:t xml:space="preserve">Her RMDQ score improved to 13/24. </w:t>
      </w:r>
      <w:r w:rsidR="00EB4772">
        <w:rPr>
          <w:rFonts w:ascii="Times New Roman" w:hAnsi="Times New Roman" w:cs="Times New Roman"/>
          <w:sz w:val="24"/>
          <w:szCs w:val="24"/>
        </w:rPr>
        <w:t xml:space="preserve"> </w:t>
      </w:r>
      <w:r w:rsidRPr="00415767">
        <w:rPr>
          <w:rFonts w:ascii="Times New Roman" w:hAnsi="Times New Roman" w:cs="Times New Roman"/>
          <w:sz w:val="24"/>
          <w:szCs w:val="24"/>
        </w:rPr>
        <w:t xml:space="preserve">Although she was not discharged, the patient did not attend any more PT sessions after 6 visits and did not reply to a follow-up call. </w:t>
      </w:r>
      <w:r w:rsidR="00EB4772">
        <w:rPr>
          <w:rFonts w:ascii="Times New Roman" w:hAnsi="Times New Roman" w:cs="Times New Roman"/>
          <w:sz w:val="24"/>
          <w:szCs w:val="24"/>
        </w:rPr>
        <w:t xml:space="preserve"> </w:t>
      </w:r>
      <w:r w:rsidRPr="00683486">
        <w:rPr>
          <w:rFonts w:ascii="Times New Roman" w:hAnsi="Times New Roman" w:cs="Times New Roman"/>
          <w:b/>
          <w:sz w:val="24"/>
          <w:szCs w:val="24"/>
        </w:rPr>
        <w:t>DISCUSSION:</w:t>
      </w:r>
      <w:r w:rsidR="002865DB">
        <w:rPr>
          <w:rFonts w:ascii="Times New Roman" w:hAnsi="Times New Roman" w:cs="Times New Roman"/>
          <w:sz w:val="24"/>
          <w:szCs w:val="24"/>
        </w:rPr>
        <w:t xml:space="preserve"> TA </w:t>
      </w:r>
      <w:r w:rsidRPr="00415767">
        <w:rPr>
          <w:rFonts w:ascii="Times New Roman" w:hAnsi="Times New Roman" w:cs="Times New Roman"/>
          <w:sz w:val="24"/>
          <w:szCs w:val="24"/>
        </w:rPr>
        <w:t xml:space="preserve">thickness was demonstrated as decreased in individuals with low back pain in a variety of postures compared to individuals without low back pain. </w:t>
      </w:r>
      <w:r w:rsidR="00EB4772">
        <w:rPr>
          <w:rFonts w:ascii="Times New Roman" w:hAnsi="Times New Roman" w:cs="Times New Roman"/>
          <w:sz w:val="24"/>
          <w:szCs w:val="24"/>
        </w:rPr>
        <w:t xml:space="preserve"> </w:t>
      </w:r>
      <w:r w:rsidRPr="00415767">
        <w:rPr>
          <w:rFonts w:ascii="Times New Roman" w:hAnsi="Times New Roman" w:cs="Times New Roman"/>
          <w:sz w:val="24"/>
          <w:szCs w:val="24"/>
        </w:rPr>
        <w:t xml:space="preserve">Additionally, TA activation during upper extremity movement has been shown to decrease with age. </w:t>
      </w:r>
      <w:r w:rsidR="00EB4772">
        <w:rPr>
          <w:rFonts w:ascii="Times New Roman" w:hAnsi="Times New Roman" w:cs="Times New Roman"/>
          <w:sz w:val="24"/>
          <w:szCs w:val="24"/>
        </w:rPr>
        <w:t xml:space="preserve"> </w:t>
      </w:r>
      <w:r w:rsidRPr="00415767">
        <w:rPr>
          <w:rFonts w:ascii="Times New Roman" w:hAnsi="Times New Roman" w:cs="Times New Roman"/>
          <w:sz w:val="24"/>
          <w:szCs w:val="24"/>
        </w:rPr>
        <w:t xml:space="preserve">Based on evidence within the literature, core strengthening appears to be an important aspect in the treatment of low back pain in clinical practice and was the primary intervention in this case. </w:t>
      </w:r>
      <w:r w:rsidR="00EB4772">
        <w:rPr>
          <w:rFonts w:ascii="Times New Roman" w:hAnsi="Times New Roman" w:cs="Times New Roman"/>
          <w:sz w:val="24"/>
          <w:szCs w:val="24"/>
        </w:rPr>
        <w:t xml:space="preserve"> </w:t>
      </w:r>
      <w:r w:rsidRPr="00415767">
        <w:rPr>
          <w:rFonts w:ascii="Times New Roman" w:hAnsi="Times New Roman" w:cs="Times New Roman"/>
          <w:sz w:val="24"/>
          <w:szCs w:val="24"/>
        </w:rPr>
        <w:t xml:space="preserve">The patient progressed slowly and was not pain-free upon cessation of PT. </w:t>
      </w:r>
      <w:r w:rsidR="00EB4772">
        <w:rPr>
          <w:rFonts w:ascii="Times New Roman" w:hAnsi="Times New Roman" w:cs="Times New Roman"/>
          <w:sz w:val="24"/>
          <w:szCs w:val="24"/>
        </w:rPr>
        <w:t xml:space="preserve"> </w:t>
      </w:r>
      <w:r w:rsidRPr="00415767">
        <w:rPr>
          <w:rFonts w:ascii="Times New Roman" w:hAnsi="Times New Roman" w:cs="Times New Roman"/>
          <w:sz w:val="24"/>
          <w:szCs w:val="24"/>
        </w:rPr>
        <w:t xml:space="preserve">Treatment of chronic low back pain has been reported as difficult within the literature, and pain-free outcomes are not easily achieved. </w:t>
      </w:r>
      <w:r w:rsidR="00EB4772">
        <w:rPr>
          <w:rFonts w:ascii="Times New Roman" w:hAnsi="Times New Roman" w:cs="Times New Roman"/>
          <w:sz w:val="24"/>
          <w:szCs w:val="24"/>
        </w:rPr>
        <w:t xml:space="preserve"> </w:t>
      </w:r>
      <w:r w:rsidR="00351627">
        <w:rPr>
          <w:rFonts w:ascii="Times New Roman" w:hAnsi="Times New Roman" w:cs="Times New Roman"/>
          <w:sz w:val="24"/>
          <w:szCs w:val="24"/>
        </w:rPr>
        <w:t>Future research should</w:t>
      </w:r>
      <w:r w:rsidRPr="00415767">
        <w:rPr>
          <w:rFonts w:ascii="Times New Roman" w:hAnsi="Times New Roman" w:cs="Times New Roman"/>
          <w:sz w:val="24"/>
          <w:szCs w:val="24"/>
        </w:rPr>
        <w:t xml:space="preserve"> focus on internal and external oblique muscle activity via electromyography or ult</w:t>
      </w:r>
      <w:r w:rsidR="00351627">
        <w:rPr>
          <w:rFonts w:ascii="Times New Roman" w:hAnsi="Times New Roman" w:cs="Times New Roman"/>
          <w:sz w:val="24"/>
          <w:szCs w:val="24"/>
        </w:rPr>
        <w:t>rasound during postural changes</w:t>
      </w:r>
      <w:r w:rsidRPr="00415767">
        <w:rPr>
          <w:rFonts w:ascii="Times New Roman" w:hAnsi="Times New Roman" w:cs="Times New Roman"/>
          <w:sz w:val="24"/>
          <w:szCs w:val="24"/>
        </w:rPr>
        <w:t xml:space="preserve"> as well as further evidence on changes in low back symptoms after core stabilization and gluteal strengthening exercises. </w:t>
      </w:r>
      <w:r w:rsidR="00EB4772">
        <w:rPr>
          <w:rFonts w:ascii="Times New Roman" w:hAnsi="Times New Roman" w:cs="Times New Roman"/>
          <w:sz w:val="24"/>
          <w:szCs w:val="24"/>
        </w:rPr>
        <w:t xml:space="preserve"> </w:t>
      </w:r>
      <w:r w:rsidRPr="00683486">
        <w:rPr>
          <w:rFonts w:ascii="Times New Roman" w:hAnsi="Times New Roman" w:cs="Times New Roman"/>
          <w:b/>
          <w:sz w:val="24"/>
          <w:szCs w:val="24"/>
        </w:rPr>
        <w:t>ACKNOWLEDGEMENTS:</w:t>
      </w:r>
      <w:r w:rsidRPr="00415767">
        <w:rPr>
          <w:rFonts w:ascii="Times New Roman" w:hAnsi="Times New Roman" w:cs="Times New Roman"/>
          <w:sz w:val="24"/>
          <w:szCs w:val="24"/>
        </w:rPr>
        <w:t xml:space="preserve"> Thank you to Carrie </w:t>
      </w:r>
      <w:proofErr w:type="spellStart"/>
      <w:r w:rsidRPr="00415767">
        <w:rPr>
          <w:rFonts w:ascii="Times New Roman" w:hAnsi="Times New Roman" w:cs="Times New Roman"/>
          <w:sz w:val="24"/>
          <w:szCs w:val="24"/>
        </w:rPr>
        <w:t>Malin</w:t>
      </w:r>
      <w:proofErr w:type="spellEnd"/>
      <w:r w:rsidRPr="00415767">
        <w:rPr>
          <w:rFonts w:ascii="Times New Roman" w:hAnsi="Times New Roman" w:cs="Times New Roman"/>
          <w:sz w:val="24"/>
          <w:szCs w:val="24"/>
        </w:rPr>
        <w:t xml:space="preserve">, PT, DPT, OCS, </w:t>
      </w:r>
      <w:proofErr w:type="spellStart"/>
      <w:r w:rsidRPr="00415767">
        <w:rPr>
          <w:rFonts w:ascii="Times New Roman" w:hAnsi="Times New Roman" w:cs="Times New Roman"/>
          <w:sz w:val="24"/>
          <w:szCs w:val="24"/>
        </w:rPr>
        <w:t>CertMDT</w:t>
      </w:r>
      <w:proofErr w:type="spellEnd"/>
      <w:r w:rsidRPr="00415767">
        <w:rPr>
          <w:rFonts w:ascii="Times New Roman" w:hAnsi="Times New Roman" w:cs="Times New Roman"/>
          <w:sz w:val="24"/>
          <w:szCs w:val="24"/>
        </w:rPr>
        <w:t xml:space="preserve"> and </w:t>
      </w:r>
      <w:r w:rsidR="00351627">
        <w:rPr>
          <w:rFonts w:ascii="Times New Roman" w:hAnsi="Times New Roman" w:cs="Times New Roman"/>
          <w:sz w:val="24"/>
          <w:szCs w:val="24"/>
        </w:rPr>
        <w:t xml:space="preserve">the </w:t>
      </w:r>
      <w:r w:rsidRPr="00415767">
        <w:rPr>
          <w:rFonts w:ascii="Times New Roman" w:hAnsi="Times New Roman" w:cs="Times New Roman"/>
          <w:sz w:val="24"/>
          <w:szCs w:val="24"/>
        </w:rPr>
        <w:t xml:space="preserve">staff at Mercy Health </w:t>
      </w:r>
      <w:proofErr w:type="spellStart"/>
      <w:r w:rsidRPr="00415767">
        <w:rPr>
          <w:rFonts w:ascii="Times New Roman" w:hAnsi="Times New Roman" w:cs="Times New Roman"/>
          <w:sz w:val="24"/>
          <w:szCs w:val="24"/>
        </w:rPr>
        <w:t>Hauenstein</w:t>
      </w:r>
      <w:proofErr w:type="spellEnd"/>
      <w:r w:rsidRPr="00415767">
        <w:rPr>
          <w:rFonts w:ascii="Times New Roman" w:hAnsi="Times New Roman" w:cs="Times New Roman"/>
          <w:sz w:val="24"/>
          <w:szCs w:val="24"/>
        </w:rPr>
        <w:t xml:space="preserve"> Neurosciences for assistance with this case</w:t>
      </w:r>
      <w:r w:rsidR="00351627">
        <w:rPr>
          <w:rFonts w:ascii="Times New Roman" w:hAnsi="Times New Roman" w:cs="Times New Roman"/>
          <w:sz w:val="24"/>
          <w:szCs w:val="24"/>
        </w:rPr>
        <w:t xml:space="preserve"> report</w:t>
      </w:r>
      <w:r w:rsidRPr="00415767">
        <w:rPr>
          <w:rFonts w:ascii="Times New Roman" w:hAnsi="Times New Roman" w:cs="Times New Roman"/>
          <w:sz w:val="24"/>
          <w:szCs w:val="24"/>
        </w:rPr>
        <w:t>.</w:t>
      </w:r>
    </w:p>
    <w:p w:rsidR="00DC3151" w:rsidRPr="00700C23" w:rsidRDefault="00DC3151" w:rsidP="00DC3151">
      <w:pPr>
        <w:spacing w:after="0" w:line="240" w:lineRule="auto"/>
        <w:rPr>
          <w:rFonts w:ascii="Times New Roman" w:hAnsi="Times New Roman" w:cs="Times New Roman"/>
          <w:b/>
          <w:sz w:val="24"/>
          <w:szCs w:val="24"/>
        </w:rPr>
      </w:pPr>
      <w:r w:rsidRPr="00700C23">
        <w:rPr>
          <w:rFonts w:ascii="Times New Roman" w:hAnsi="Times New Roman" w:cs="Times New Roman"/>
          <w:b/>
          <w:sz w:val="24"/>
          <w:szCs w:val="24"/>
        </w:rPr>
        <w:lastRenderedPageBreak/>
        <w:t>MEASURING THE IMPACT OF INTERNATIONAL VOLUNTEER SERVICE IN HEALTHCARE PROFESSIONALS: A SURVEY</w:t>
      </w:r>
      <w:r w:rsidR="00700C23" w:rsidRPr="00700C23">
        <w:rPr>
          <w:rFonts w:ascii="Times New Roman" w:hAnsi="Times New Roman" w:cs="Times New Roman"/>
          <w:b/>
          <w:sz w:val="24"/>
          <w:szCs w:val="24"/>
        </w:rPr>
        <w:t>.</w:t>
      </w:r>
      <w:r w:rsidR="00700C23">
        <w:rPr>
          <w:rFonts w:ascii="Times New Roman" w:hAnsi="Times New Roman" w:cs="Times New Roman"/>
          <w:b/>
          <w:sz w:val="24"/>
          <w:szCs w:val="24"/>
        </w:rPr>
        <w:t xml:space="preserve"> </w:t>
      </w:r>
      <w:r w:rsidRPr="00DC3151">
        <w:rPr>
          <w:rFonts w:ascii="Times New Roman" w:hAnsi="Times New Roman" w:cs="Times New Roman"/>
          <w:sz w:val="24"/>
          <w:szCs w:val="24"/>
        </w:rPr>
        <w:t xml:space="preserve">Cody M, Houtz T, </w:t>
      </w:r>
      <w:r w:rsidR="00700C23">
        <w:rPr>
          <w:rFonts w:ascii="Times New Roman" w:hAnsi="Times New Roman" w:cs="Times New Roman"/>
          <w:sz w:val="24"/>
          <w:szCs w:val="24"/>
        </w:rPr>
        <w:t xml:space="preserve">Smith B, Baker B, </w:t>
      </w:r>
      <w:proofErr w:type="spellStart"/>
      <w:r w:rsidRPr="00DC3151">
        <w:rPr>
          <w:rFonts w:ascii="Times New Roman" w:hAnsi="Times New Roman" w:cs="Times New Roman"/>
          <w:sz w:val="24"/>
          <w:szCs w:val="24"/>
        </w:rPr>
        <w:t>Leiras</w:t>
      </w:r>
      <w:proofErr w:type="spellEnd"/>
      <w:r w:rsidRPr="00DC3151">
        <w:rPr>
          <w:rFonts w:ascii="Times New Roman" w:hAnsi="Times New Roman" w:cs="Times New Roman"/>
          <w:sz w:val="24"/>
          <w:szCs w:val="24"/>
        </w:rPr>
        <w:t xml:space="preserve"> C; Grand Valley State University</w:t>
      </w:r>
      <w:r w:rsidR="00700C23">
        <w:rPr>
          <w:rFonts w:ascii="Times New Roman" w:hAnsi="Times New Roman" w:cs="Times New Roman"/>
          <w:sz w:val="24"/>
          <w:szCs w:val="24"/>
        </w:rPr>
        <w:t>, Grand Rapids, MI.</w:t>
      </w:r>
      <w:r w:rsidRPr="00DC3151">
        <w:rPr>
          <w:rFonts w:ascii="Times New Roman" w:hAnsi="Times New Roman" w:cs="Times New Roman"/>
          <w:sz w:val="24"/>
          <w:szCs w:val="24"/>
        </w:rPr>
        <w:t xml:space="preserve"> </w:t>
      </w:r>
    </w:p>
    <w:p w:rsidR="00DC3151" w:rsidRPr="00DC3151" w:rsidRDefault="00DC3151" w:rsidP="00DC3151">
      <w:pPr>
        <w:spacing w:after="0" w:line="240" w:lineRule="auto"/>
        <w:rPr>
          <w:rFonts w:ascii="Times New Roman" w:hAnsi="Times New Roman" w:cs="Times New Roman"/>
          <w:sz w:val="24"/>
          <w:szCs w:val="24"/>
        </w:rPr>
      </w:pPr>
    </w:p>
    <w:p w:rsidR="006C28BB" w:rsidRPr="00415767" w:rsidRDefault="00DC3151">
      <w:pPr>
        <w:spacing w:after="0" w:line="240" w:lineRule="auto"/>
        <w:rPr>
          <w:rFonts w:ascii="Times New Roman" w:hAnsi="Times New Roman" w:cs="Times New Roman"/>
          <w:sz w:val="24"/>
          <w:szCs w:val="24"/>
        </w:rPr>
      </w:pPr>
      <w:r w:rsidRPr="00134BA0">
        <w:rPr>
          <w:rFonts w:ascii="Times New Roman" w:hAnsi="Times New Roman" w:cs="Times New Roman"/>
          <w:b/>
          <w:sz w:val="24"/>
          <w:szCs w:val="24"/>
        </w:rPr>
        <w:t>INTRODUCTION:</w:t>
      </w:r>
      <w:r w:rsidRPr="00DC3151">
        <w:rPr>
          <w:rFonts w:ascii="Times New Roman" w:hAnsi="Times New Roman" w:cs="Times New Roman"/>
          <w:sz w:val="24"/>
          <w:szCs w:val="24"/>
        </w:rPr>
        <w:t xml:space="preserve"> Between 800,000 and 1,000,000 Americans participate in international volunteer and service (IVS) programs annually. </w:t>
      </w:r>
      <w:r w:rsidR="00134BA0">
        <w:rPr>
          <w:rFonts w:ascii="Times New Roman" w:hAnsi="Times New Roman" w:cs="Times New Roman"/>
          <w:sz w:val="24"/>
          <w:szCs w:val="24"/>
        </w:rPr>
        <w:t xml:space="preserve"> </w:t>
      </w:r>
      <w:r w:rsidRPr="00DC3151">
        <w:rPr>
          <w:rFonts w:ascii="Times New Roman" w:hAnsi="Times New Roman" w:cs="Times New Roman"/>
          <w:sz w:val="24"/>
          <w:szCs w:val="24"/>
        </w:rPr>
        <w:t xml:space="preserve">College students make up the largest percentage of those participating. </w:t>
      </w:r>
      <w:r w:rsidR="00134BA0">
        <w:rPr>
          <w:rFonts w:ascii="Times New Roman" w:hAnsi="Times New Roman" w:cs="Times New Roman"/>
          <w:sz w:val="24"/>
          <w:szCs w:val="24"/>
        </w:rPr>
        <w:t xml:space="preserve"> </w:t>
      </w:r>
      <w:r w:rsidRPr="00DC3151">
        <w:rPr>
          <w:rFonts w:ascii="Times New Roman" w:hAnsi="Times New Roman" w:cs="Times New Roman"/>
          <w:sz w:val="24"/>
          <w:szCs w:val="24"/>
        </w:rPr>
        <w:t xml:space="preserve">There has been a recent trend in research trying to identify the impact of participating in IVS experiences. </w:t>
      </w:r>
      <w:r w:rsidR="00134BA0">
        <w:rPr>
          <w:rFonts w:ascii="Times New Roman" w:hAnsi="Times New Roman" w:cs="Times New Roman"/>
          <w:sz w:val="24"/>
          <w:szCs w:val="24"/>
        </w:rPr>
        <w:t xml:space="preserve"> </w:t>
      </w:r>
      <w:r w:rsidR="0017761B">
        <w:rPr>
          <w:rFonts w:ascii="Times New Roman" w:hAnsi="Times New Roman" w:cs="Times New Roman"/>
          <w:sz w:val="24"/>
          <w:szCs w:val="24"/>
        </w:rPr>
        <w:t>This study was</w:t>
      </w:r>
      <w:r w:rsidRPr="00DC3151">
        <w:rPr>
          <w:rFonts w:ascii="Times New Roman" w:hAnsi="Times New Roman" w:cs="Times New Roman"/>
          <w:sz w:val="24"/>
          <w:szCs w:val="24"/>
        </w:rPr>
        <w:t xml:space="preserve"> developed to address the current lack of literature in this area by administering online the International Volunteer Impact Survey (IVIS) created by Lough et al</w:t>
      </w:r>
      <w:r w:rsidR="0017761B">
        <w:rPr>
          <w:rFonts w:ascii="Times New Roman" w:hAnsi="Times New Roman" w:cs="Times New Roman"/>
          <w:sz w:val="24"/>
          <w:szCs w:val="24"/>
        </w:rPr>
        <w:t>.</w:t>
      </w:r>
      <w:r w:rsidRPr="00DC3151">
        <w:rPr>
          <w:rFonts w:ascii="Times New Roman" w:hAnsi="Times New Roman" w:cs="Times New Roman"/>
          <w:sz w:val="24"/>
          <w:szCs w:val="24"/>
        </w:rPr>
        <w:t xml:space="preserve"> (2009) to health</w:t>
      </w:r>
      <w:r w:rsidR="0017761B">
        <w:rPr>
          <w:rFonts w:ascii="Times New Roman" w:hAnsi="Times New Roman" w:cs="Times New Roman"/>
          <w:sz w:val="24"/>
          <w:szCs w:val="24"/>
        </w:rPr>
        <w:t xml:space="preserve"> </w:t>
      </w:r>
      <w:r w:rsidRPr="00DC3151">
        <w:rPr>
          <w:rFonts w:ascii="Times New Roman" w:hAnsi="Times New Roman" w:cs="Times New Roman"/>
          <w:sz w:val="24"/>
          <w:szCs w:val="24"/>
        </w:rPr>
        <w:t xml:space="preserve">care professionals that participated in IVS while in college. </w:t>
      </w:r>
      <w:r w:rsidR="00134BA0">
        <w:rPr>
          <w:rFonts w:ascii="Times New Roman" w:hAnsi="Times New Roman" w:cs="Times New Roman"/>
          <w:sz w:val="24"/>
          <w:szCs w:val="24"/>
        </w:rPr>
        <w:t xml:space="preserve"> </w:t>
      </w:r>
      <w:r w:rsidRPr="00134BA0">
        <w:rPr>
          <w:rFonts w:ascii="Times New Roman" w:hAnsi="Times New Roman" w:cs="Times New Roman"/>
          <w:b/>
          <w:sz w:val="24"/>
          <w:szCs w:val="24"/>
        </w:rPr>
        <w:t>METHODS:</w:t>
      </w:r>
      <w:r w:rsidR="00134BA0">
        <w:rPr>
          <w:rFonts w:ascii="Times New Roman" w:hAnsi="Times New Roman" w:cs="Times New Roman"/>
          <w:sz w:val="24"/>
          <w:szCs w:val="24"/>
        </w:rPr>
        <w:t xml:space="preserve"> The IVIS </w:t>
      </w:r>
      <w:r w:rsidRPr="00DC3151">
        <w:rPr>
          <w:rFonts w:ascii="Times New Roman" w:hAnsi="Times New Roman" w:cs="Times New Roman"/>
          <w:sz w:val="24"/>
          <w:szCs w:val="24"/>
        </w:rPr>
        <w:t xml:space="preserve">was distributed electronically to former participants of Hearts in Motion (HIM) volunteer trips via email and social media outlets. </w:t>
      </w:r>
      <w:r w:rsidR="00134BA0">
        <w:rPr>
          <w:rFonts w:ascii="Times New Roman" w:hAnsi="Times New Roman" w:cs="Times New Roman"/>
          <w:sz w:val="24"/>
          <w:szCs w:val="24"/>
        </w:rPr>
        <w:t xml:space="preserve"> </w:t>
      </w:r>
      <w:r w:rsidRPr="00DC3151">
        <w:rPr>
          <w:rFonts w:ascii="Times New Roman" w:hAnsi="Times New Roman" w:cs="Times New Roman"/>
          <w:sz w:val="24"/>
          <w:szCs w:val="24"/>
        </w:rPr>
        <w:t xml:space="preserve">It remained open for 3 months and gathered 12 responses. </w:t>
      </w:r>
      <w:r w:rsidR="00134BA0">
        <w:rPr>
          <w:rFonts w:ascii="Times New Roman" w:hAnsi="Times New Roman" w:cs="Times New Roman"/>
          <w:sz w:val="24"/>
          <w:szCs w:val="24"/>
        </w:rPr>
        <w:t xml:space="preserve"> </w:t>
      </w:r>
      <w:r w:rsidRPr="00134BA0">
        <w:rPr>
          <w:rFonts w:ascii="Times New Roman" w:hAnsi="Times New Roman" w:cs="Times New Roman"/>
          <w:b/>
          <w:sz w:val="24"/>
          <w:szCs w:val="24"/>
        </w:rPr>
        <w:t>RESULTS:</w:t>
      </w:r>
      <w:r w:rsidRPr="00DC3151">
        <w:rPr>
          <w:rFonts w:ascii="Times New Roman" w:hAnsi="Times New Roman" w:cs="Times New Roman"/>
          <w:sz w:val="24"/>
          <w:szCs w:val="24"/>
        </w:rPr>
        <w:t xml:space="preserve"> Cronbach’s alpha was calculated to determine internal consiste</w:t>
      </w:r>
      <w:r w:rsidR="0017761B">
        <w:rPr>
          <w:rFonts w:ascii="Times New Roman" w:hAnsi="Times New Roman" w:cs="Times New Roman"/>
          <w:sz w:val="24"/>
          <w:szCs w:val="24"/>
        </w:rPr>
        <w:t>ncy within each subcategory of L</w:t>
      </w:r>
      <w:r w:rsidRPr="00DC3151">
        <w:rPr>
          <w:rFonts w:ascii="Times New Roman" w:hAnsi="Times New Roman" w:cs="Times New Roman"/>
          <w:sz w:val="24"/>
          <w:szCs w:val="24"/>
        </w:rPr>
        <w:t xml:space="preserve">ikert scale group of questions and ranged from </w:t>
      </w:r>
      <w:r w:rsidR="0017761B">
        <w:rPr>
          <w:rFonts w:ascii="Times New Roman" w:hAnsi="Times New Roman" w:cs="Times New Roman"/>
          <w:sz w:val="24"/>
          <w:szCs w:val="24"/>
        </w:rPr>
        <w:t xml:space="preserve">        </w:t>
      </w:r>
      <w:r w:rsidRPr="00DC3151">
        <w:rPr>
          <w:rFonts w:ascii="Times New Roman" w:hAnsi="Times New Roman" w:cs="Times New Roman"/>
          <w:sz w:val="24"/>
          <w:szCs w:val="24"/>
        </w:rPr>
        <w:t xml:space="preserve">0.62 - 0.95 with the only subcategory not meeting the required score of 0.70 being “global identity”. </w:t>
      </w:r>
      <w:r w:rsidR="00134BA0">
        <w:rPr>
          <w:rFonts w:ascii="Times New Roman" w:hAnsi="Times New Roman" w:cs="Times New Roman"/>
          <w:sz w:val="24"/>
          <w:szCs w:val="24"/>
        </w:rPr>
        <w:t xml:space="preserve"> </w:t>
      </w:r>
      <w:r w:rsidRPr="00DC3151">
        <w:rPr>
          <w:rFonts w:ascii="Times New Roman" w:hAnsi="Times New Roman" w:cs="Times New Roman"/>
          <w:sz w:val="24"/>
          <w:szCs w:val="24"/>
        </w:rPr>
        <w:t>Using a Wilcoxon Two-Sample test</w:t>
      </w:r>
      <w:r w:rsidR="0017761B">
        <w:rPr>
          <w:rFonts w:ascii="Times New Roman" w:hAnsi="Times New Roman" w:cs="Times New Roman"/>
          <w:sz w:val="24"/>
          <w:szCs w:val="24"/>
        </w:rPr>
        <w:t>,</w:t>
      </w:r>
      <w:r w:rsidRPr="00DC3151">
        <w:rPr>
          <w:rFonts w:ascii="Times New Roman" w:hAnsi="Times New Roman" w:cs="Times New Roman"/>
          <w:sz w:val="24"/>
          <w:szCs w:val="24"/>
        </w:rPr>
        <w:t xml:space="preserve"> no statistically significant differences were found in subcategory responses between participants who responded that their profession was “physical therapist” </w:t>
      </w:r>
      <w:r w:rsidR="0017761B">
        <w:rPr>
          <w:rFonts w:ascii="Times New Roman" w:hAnsi="Times New Roman" w:cs="Times New Roman"/>
          <w:sz w:val="24"/>
          <w:szCs w:val="24"/>
        </w:rPr>
        <w:t>and those who responded “other”.</w:t>
      </w:r>
      <w:r w:rsidRPr="00DC3151">
        <w:rPr>
          <w:rFonts w:ascii="Times New Roman" w:hAnsi="Times New Roman" w:cs="Times New Roman"/>
          <w:sz w:val="24"/>
          <w:szCs w:val="24"/>
        </w:rPr>
        <w:t xml:space="preserve"> </w:t>
      </w:r>
      <w:r w:rsidR="00134BA0">
        <w:rPr>
          <w:rFonts w:ascii="Times New Roman" w:hAnsi="Times New Roman" w:cs="Times New Roman"/>
          <w:sz w:val="24"/>
          <w:szCs w:val="24"/>
        </w:rPr>
        <w:t xml:space="preserve"> </w:t>
      </w:r>
      <w:r w:rsidRPr="00DC3151">
        <w:rPr>
          <w:rFonts w:ascii="Times New Roman" w:hAnsi="Times New Roman" w:cs="Times New Roman"/>
          <w:sz w:val="24"/>
          <w:szCs w:val="24"/>
        </w:rPr>
        <w:t>In a comparison between participants who reported having participated in community service in the past 12 months and those who had not, the only subcategory that had a statistically different response was “Previous</w:t>
      </w:r>
      <w:r w:rsidR="00DF3B5A">
        <w:rPr>
          <w:rFonts w:ascii="Times New Roman" w:hAnsi="Times New Roman" w:cs="Times New Roman"/>
          <w:sz w:val="24"/>
          <w:szCs w:val="24"/>
        </w:rPr>
        <w:t xml:space="preserve"> Exposure to Diversity” with a W</w:t>
      </w:r>
      <w:r w:rsidRPr="00DC3151">
        <w:rPr>
          <w:rFonts w:ascii="Times New Roman" w:hAnsi="Times New Roman" w:cs="Times New Roman"/>
          <w:sz w:val="24"/>
          <w:szCs w:val="24"/>
        </w:rPr>
        <w:t xml:space="preserve">ilcoxon two-sample test score of 0.0025. </w:t>
      </w:r>
      <w:r w:rsidR="00134BA0">
        <w:rPr>
          <w:rFonts w:ascii="Times New Roman" w:hAnsi="Times New Roman" w:cs="Times New Roman"/>
          <w:sz w:val="24"/>
          <w:szCs w:val="24"/>
        </w:rPr>
        <w:t xml:space="preserve"> </w:t>
      </w:r>
      <w:r w:rsidRPr="00134BA0">
        <w:rPr>
          <w:rFonts w:ascii="Times New Roman" w:hAnsi="Times New Roman" w:cs="Times New Roman"/>
          <w:b/>
          <w:sz w:val="24"/>
          <w:szCs w:val="24"/>
        </w:rPr>
        <w:t>DISCUSSION:</w:t>
      </w:r>
      <w:r w:rsidRPr="00DC3151">
        <w:rPr>
          <w:rFonts w:ascii="Times New Roman" w:hAnsi="Times New Roman" w:cs="Times New Roman"/>
          <w:sz w:val="24"/>
          <w:szCs w:val="24"/>
        </w:rPr>
        <w:t xml:space="preserve"> This survey found similarities within student volunteers and health care professional volunteers, i</w:t>
      </w:r>
      <w:r w:rsidR="00DF3B5A">
        <w:rPr>
          <w:rFonts w:ascii="Times New Roman" w:hAnsi="Times New Roman" w:cs="Times New Roman"/>
          <w:sz w:val="24"/>
          <w:szCs w:val="24"/>
        </w:rPr>
        <w:t>ndicating that student</w:t>
      </w:r>
      <w:r w:rsidR="0017761B">
        <w:rPr>
          <w:rFonts w:ascii="Times New Roman" w:hAnsi="Times New Roman" w:cs="Times New Roman"/>
          <w:sz w:val="24"/>
          <w:szCs w:val="24"/>
        </w:rPr>
        <w:t>s</w:t>
      </w:r>
      <w:r w:rsidR="00DF3B5A">
        <w:rPr>
          <w:rFonts w:ascii="Times New Roman" w:hAnsi="Times New Roman" w:cs="Times New Roman"/>
          <w:sz w:val="24"/>
          <w:szCs w:val="24"/>
        </w:rPr>
        <w:t xml:space="preserve"> can have similar experiences as</w:t>
      </w:r>
      <w:r w:rsidRPr="00DC3151">
        <w:rPr>
          <w:rFonts w:ascii="Times New Roman" w:hAnsi="Times New Roman" w:cs="Times New Roman"/>
          <w:sz w:val="24"/>
          <w:szCs w:val="24"/>
        </w:rPr>
        <w:t xml:space="preserve"> health care professionals. </w:t>
      </w:r>
      <w:r w:rsidR="00134BA0">
        <w:rPr>
          <w:rFonts w:ascii="Times New Roman" w:hAnsi="Times New Roman" w:cs="Times New Roman"/>
          <w:sz w:val="24"/>
          <w:szCs w:val="24"/>
        </w:rPr>
        <w:t xml:space="preserve"> </w:t>
      </w:r>
      <w:r w:rsidRPr="00DC3151">
        <w:rPr>
          <w:rFonts w:ascii="Times New Roman" w:hAnsi="Times New Roman" w:cs="Times New Roman"/>
          <w:sz w:val="24"/>
          <w:szCs w:val="24"/>
        </w:rPr>
        <w:t>This study serves a</w:t>
      </w:r>
      <w:r w:rsidR="0017761B">
        <w:rPr>
          <w:rFonts w:ascii="Times New Roman" w:hAnsi="Times New Roman" w:cs="Times New Roman"/>
          <w:sz w:val="24"/>
          <w:szCs w:val="24"/>
        </w:rPr>
        <w:t>s a pilot for the much needed research of</w:t>
      </w:r>
      <w:r w:rsidRPr="00DC3151">
        <w:rPr>
          <w:rFonts w:ascii="Times New Roman" w:hAnsi="Times New Roman" w:cs="Times New Roman"/>
          <w:sz w:val="24"/>
          <w:szCs w:val="24"/>
        </w:rPr>
        <w:t xml:space="preserve"> professional behaviors in relationship to international volunteer experiences. </w:t>
      </w:r>
      <w:r w:rsidR="00134BA0">
        <w:rPr>
          <w:rFonts w:ascii="Times New Roman" w:hAnsi="Times New Roman" w:cs="Times New Roman"/>
          <w:sz w:val="24"/>
          <w:szCs w:val="24"/>
        </w:rPr>
        <w:t xml:space="preserve"> </w:t>
      </w:r>
      <w:r w:rsidRPr="00134BA0">
        <w:rPr>
          <w:rFonts w:ascii="Times New Roman" w:hAnsi="Times New Roman" w:cs="Times New Roman"/>
          <w:b/>
          <w:sz w:val="24"/>
          <w:szCs w:val="24"/>
        </w:rPr>
        <w:t>CONCLUSION</w:t>
      </w:r>
      <w:r w:rsidR="00134BA0" w:rsidRPr="00134BA0">
        <w:rPr>
          <w:rFonts w:ascii="Times New Roman" w:hAnsi="Times New Roman" w:cs="Times New Roman"/>
          <w:b/>
          <w:sz w:val="24"/>
          <w:szCs w:val="24"/>
        </w:rPr>
        <w:t>S</w:t>
      </w:r>
      <w:r w:rsidRPr="00134BA0">
        <w:rPr>
          <w:rFonts w:ascii="Times New Roman" w:hAnsi="Times New Roman" w:cs="Times New Roman"/>
          <w:b/>
          <w:sz w:val="24"/>
          <w:szCs w:val="24"/>
        </w:rPr>
        <w:t>:</w:t>
      </w:r>
      <w:r w:rsidRPr="00DC3151">
        <w:rPr>
          <w:rFonts w:ascii="Times New Roman" w:hAnsi="Times New Roman" w:cs="Times New Roman"/>
          <w:sz w:val="24"/>
          <w:szCs w:val="24"/>
        </w:rPr>
        <w:t xml:space="preserve"> Within the health</w:t>
      </w:r>
      <w:r w:rsidR="0017761B">
        <w:rPr>
          <w:rFonts w:ascii="Times New Roman" w:hAnsi="Times New Roman" w:cs="Times New Roman"/>
          <w:sz w:val="24"/>
          <w:szCs w:val="24"/>
        </w:rPr>
        <w:t xml:space="preserve"> </w:t>
      </w:r>
      <w:r w:rsidR="00134BA0">
        <w:rPr>
          <w:rFonts w:ascii="Times New Roman" w:hAnsi="Times New Roman" w:cs="Times New Roman"/>
          <w:sz w:val="24"/>
          <w:szCs w:val="24"/>
        </w:rPr>
        <w:t>care sector</w:t>
      </w:r>
      <w:r w:rsidR="0017761B">
        <w:rPr>
          <w:rFonts w:ascii="Times New Roman" w:hAnsi="Times New Roman" w:cs="Times New Roman"/>
          <w:sz w:val="24"/>
          <w:szCs w:val="24"/>
        </w:rPr>
        <w:t>,</w:t>
      </w:r>
      <w:r w:rsidR="00134BA0">
        <w:rPr>
          <w:rFonts w:ascii="Times New Roman" w:hAnsi="Times New Roman" w:cs="Times New Roman"/>
          <w:sz w:val="24"/>
          <w:szCs w:val="24"/>
        </w:rPr>
        <w:t xml:space="preserve"> there is a void of </w:t>
      </w:r>
      <w:r w:rsidRPr="00DC3151">
        <w:rPr>
          <w:rFonts w:ascii="Times New Roman" w:hAnsi="Times New Roman" w:cs="Times New Roman"/>
          <w:sz w:val="24"/>
          <w:szCs w:val="24"/>
        </w:rPr>
        <w:t>research on this to</w:t>
      </w:r>
      <w:r w:rsidR="0017761B">
        <w:rPr>
          <w:rFonts w:ascii="Times New Roman" w:hAnsi="Times New Roman" w:cs="Times New Roman"/>
          <w:sz w:val="24"/>
          <w:szCs w:val="24"/>
        </w:rPr>
        <w:t>pic.  Therefore, more research should</w:t>
      </w:r>
      <w:r w:rsidR="00134BA0">
        <w:rPr>
          <w:rFonts w:ascii="Times New Roman" w:hAnsi="Times New Roman" w:cs="Times New Roman"/>
          <w:sz w:val="24"/>
          <w:szCs w:val="24"/>
        </w:rPr>
        <w:t xml:space="preserve"> be </w:t>
      </w:r>
      <w:r w:rsidR="0017761B">
        <w:rPr>
          <w:rFonts w:ascii="Times New Roman" w:hAnsi="Times New Roman" w:cs="Times New Roman"/>
          <w:sz w:val="24"/>
          <w:szCs w:val="24"/>
        </w:rPr>
        <w:t>conducted on the impact of IVS</w:t>
      </w:r>
      <w:r w:rsidRPr="00DC3151">
        <w:rPr>
          <w:rFonts w:ascii="Times New Roman" w:hAnsi="Times New Roman" w:cs="Times New Roman"/>
          <w:sz w:val="24"/>
          <w:szCs w:val="24"/>
        </w:rPr>
        <w:t xml:space="preserve"> to further communicate the benefits and importance of such work. </w:t>
      </w:r>
      <w:r w:rsidR="00134BA0">
        <w:rPr>
          <w:rFonts w:ascii="Times New Roman" w:hAnsi="Times New Roman" w:cs="Times New Roman"/>
          <w:sz w:val="24"/>
          <w:szCs w:val="24"/>
        </w:rPr>
        <w:t xml:space="preserve"> </w:t>
      </w:r>
      <w:r w:rsidR="0017761B">
        <w:rPr>
          <w:rFonts w:ascii="Times New Roman" w:hAnsi="Times New Roman" w:cs="Times New Roman"/>
          <w:sz w:val="24"/>
          <w:szCs w:val="24"/>
        </w:rPr>
        <w:t xml:space="preserve">Although </w:t>
      </w:r>
      <w:r w:rsidRPr="00DC3151">
        <w:rPr>
          <w:rFonts w:ascii="Times New Roman" w:hAnsi="Times New Roman" w:cs="Times New Roman"/>
          <w:sz w:val="24"/>
          <w:szCs w:val="24"/>
        </w:rPr>
        <w:t>this study was not able to strongly demonstrate the impact of international volunteer experiences</w:t>
      </w:r>
      <w:r w:rsidR="0017761B">
        <w:rPr>
          <w:rFonts w:ascii="Times New Roman" w:hAnsi="Times New Roman" w:cs="Times New Roman"/>
          <w:sz w:val="24"/>
          <w:szCs w:val="24"/>
        </w:rPr>
        <w:t>,</w:t>
      </w:r>
      <w:r w:rsidRPr="00DC3151">
        <w:rPr>
          <w:rFonts w:ascii="Times New Roman" w:hAnsi="Times New Roman" w:cs="Times New Roman"/>
          <w:sz w:val="24"/>
          <w:szCs w:val="24"/>
        </w:rPr>
        <w:t xml:space="preserve"> it serves as a pilot</w:t>
      </w:r>
      <w:r w:rsidR="0017761B">
        <w:rPr>
          <w:rFonts w:ascii="Times New Roman" w:hAnsi="Times New Roman" w:cs="Times New Roman"/>
          <w:sz w:val="24"/>
          <w:szCs w:val="24"/>
        </w:rPr>
        <w:t>,</w:t>
      </w:r>
      <w:r w:rsidRPr="00DC3151">
        <w:rPr>
          <w:rFonts w:ascii="Times New Roman" w:hAnsi="Times New Roman" w:cs="Times New Roman"/>
          <w:sz w:val="24"/>
          <w:szCs w:val="24"/>
        </w:rPr>
        <w:t xml:space="preserve"> enhancing the need for further more expansive studies with control groups and perhaps qualitative information.</w:t>
      </w:r>
    </w:p>
    <w:sectPr w:rsidR="006C28BB" w:rsidRPr="00415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A65"/>
    <w:rsid w:val="00013E2B"/>
    <w:rsid w:val="00027937"/>
    <w:rsid w:val="00093F60"/>
    <w:rsid w:val="000B543C"/>
    <w:rsid w:val="0010451D"/>
    <w:rsid w:val="00122BD6"/>
    <w:rsid w:val="001325DB"/>
    <w:rsid w:val="00134BA0"/>
    <w:rsid w:val="00176EF3"/>
    <w:rsid w:val="0017761B"/>
    <w:rsid w:val="00182162"/>
    <w:rsid w:val="001A2313"/>
    <w:rsid w:val="001B3510"/>
    <w:rsid w:val="00220982"/>
    <w:rsid w:val="002865DB"/>
    <w:rsid w:val="0030548A"/>
    <w:rsid w:val="003310D1"/>
    <w:rsid w:val="00351627"/>
    <w:rsid w:val="003D28BF"/>
    <w:rsid w:val="003D6724"/>
    <w:rsid w:val="00415767"/>
    <w:rsid w:val="004867B5"/>
    <w:rsid w:val="004F0A28"/>
    <w:rsid w:val="00503A14"/>
    <w:rsid w:val="0052745B"/>
    <w:rsid w:val="00577F8E"/>
    <w:rsid w:val="005A0B0F"/>
    <w:rsid w:val="005C18EA"/>
    <w:rsid w:val="005F65AF"/>
    <w:rsid w:val="006042AF"/>
    <w:rsid w:val="006250C8"/>
    <w:rsid w:val="00662BA4"/>
    <w:rsid w:val="0068288A"/>
    <w:rsid w:val="00683486"/>
    <w:rsid w:val="00692DA8"/>
    <w:rsid w:val="006B5E3B"/>
    <w:rsid w:val="006C28BB"/>
    <w:rsid w:val="006D0FDB"/>
    <w:rsid w:val="006D5BF2"/>
    <w:rsid w:val="006E56FB"/>
    <w:rsid w:val="006E6495"/>
    <w:rsid w:val="00700C23"/>
    <w:rsid w:val="0070192E"/>
    <w:rsid w:val="00765EA5"/>
    <w:rsid w:val="00771A6D"/>
    <w:rsid w:val="00772D45"/>
    <w:rsid w:val="007B465C"/>
    <w:rsid w:val="007C4C36"/>
    <w:rsid w:val="007F1B7A"/>
    <w:rsid w:val="00805A41"/>
    <w:rsid w:val="008B54BC"/>
    <w:rsid w:val="008E2A65"/>
    <w:rsid w:val="00966660"/>
    <w:rsid w:val="009B29CF"/>
    <w:rsid w:val="00A86154"/>
    <w:rsid w:val="00A93D34"/>
    <w:rsid w:val="00AA4BD7"/>
    <w:rsid w:val="00AF0A34"/>
    <w:rsid w:val="00AF2930"/>
    <w:rsid w:val="00AF437C"/>
    <w:rsid w:val="00B60262"/>
    <w:rsid w:val="00B961FA"/>
    <w:rsid w:val="00C60700"/>
    <w:rsid w:val="00D963CA"/>
    <w:rsid w:val="00DC081B"/>
    <w:rsid w:val="00DC3151"/>
    <w:rsid w:val="00DC4A9B"/>
    <w:rsid w:val="00DF075B"/>
    <w:rsid w:val="00DF3B5A"/>
    <w:rsid w:val="00E27D9D"/>
    <w:rsid w:val="00E57DB6"/>
    <w:rsid w:val="00EB4772"/>
    <w:rsid w:val="00EC0B42"/>
    <w:rsid w:val="00F501FD"/>
    <w:rsid w:val="00FA7FA8"/>
    <w:rsid w:val="00FB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8D151-C9EA-4E53-9B2E-0CA42F43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8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10303</Words>
  <Characters>58728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kinneb</dc:creator>
  <cp:lastModifiedBy>Cathy Harro</cp:lastModifiedBy>
  <cp:revision>3</cp:revision>
  <cp:lastPrinted>2016-06-29T18:55:00Z</cp:lastPrinted>
  <dcterms:created xsi:type="dcterms:W3CDTF">2019-06-24T15:05:00Z</dcterms:created>
  <dcterms:modified xsi:type="dcterms:W3CDTF">2019-06-24T15:14:00Z</dcterms:modified>
</cp:coreProperties>
</file>