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95F2E" w14:textId="77777777" w:rsidR="00F008F7" w:rsidRPr="00F008F7" w:rsidRDefault="00D62736" w:rsidP="00F008F7">
      <w:pPr>
        <w:spacing w:after="0" w:line="240" w:lineRule="auto"/>
        <w:ind w:left="720" w:hanging="360"/>
        <w:jc w:val="center"/>
        <w:rPr>
          <w:rFonts w:ascii="Palatino Linotype" w:hAnsi="Palatino Linotype"/>
          <w:b/>
          <w:bCs/>
          <w:color w:val="4472C4" w:themeColor="accent1"/>
          <w:sz w:val="28"/>
          <w:szCs w:val="28"/>
        </w:rPr>
      </w:pPr>
      <w:r w:rsidRPr="00F008F7">
        <w:rPr>
          <w:rFonts w:ascii="Palatino Linotype" w:hAnsi="Palatino Linotype"/>
          <w:b/>
          <w:bCs/>
          <w:color w:val="4472C4" w:themeColor="accent1"/>
          <w:sz w:val="28"/>
          <w:szCs w:val="28"/>
        </w:rPr>
        <w:t xml:space="preserve">Brooks </w:t>
      </w:r>
      <w:r w:rsidR="00F008F7" w:rsidRPr="00F008F7">
        <w:rPr>
          <w:rFonts w:ascii="Palatino Linotype" w:hAnsi="Palatino Linotype"/>
          <w:b/>
          <w:bCs/>
          <w:color w:val="4472C4" w:themeColor="accent1"/>
          <w:sz w:val="28"/>
          <w:szCs w:val="28"/>
        </w:rPr>
        <w:t>College of Interdisciplinary Studies</w:t>
      </w:r>
    </w:p>
    <w:p w14:paraId="30C3E1C3" w14:textId="4C8AA5F7" w:rsidR="00D62736" w:rsidRDefault="00D62736" w:rsidP="00F008F7">
      <w:pPr>
        <w:spacing w:after="0" w:line="240" w:lineRule="auto"/>
        <w:ind w:left="720" w:hanging="360"/>
        <w:jc w:val="center"/>
        <w:rPr>
          <w:rFonts w:ascii="Palatino Linotype" w:hAnsi="Palatino Linotype"/>
          <w:sz w:val="28"/>
          <w:szCs w:val="28"/>
        </w:rPr>
      </w:pPr>
      <w:r w:rsidRPr="00596CF9">
        <w:rPr>
          <w:rFonts w:ascii="Palatino Linotype" w:hAnsi="Palatino Linotype"/>
          <w:sz w:val="28"/>
          <w:szCs w:val="28"/>
        </w:rPr>
        <w:t>Priorities and Strategies, 202</w:t>
      </w:r>
      <w:r w:rsidR="00F008F7">
        <w:rPr>
          <w:rFonts w:ascii="Palatino Linotype" w:hAnsi="Palatino Linotype"/>
          <w:sz w:val="28"/>
          <w:szCs w:val="28"/>
        </w:rPr>
        <w:t>6</w:t>
      </w:r>
      <w:r w:rsidRPr="00596CF9">
        <w:rPr>
          <w:rFonts w:ascii="Palatino Linotype" w:hAnsi="Palatino Linotype"/>
          <w:sz w:val="28"/>
          <w:szCs w:val="28"/>
        </w:rPr>
        <w:t>-20</w:t>
      </w:r>
      <w:r w:rsidR="00F008F7">
        <w:rPr>
          <w:rFonts w:ascii="Palatino Linotype" w:hAnsi="Palatino Linotype"/>
          <w:sz w:val="28"/>
          <w:szCs w:val="28"/>
        </w:rPr>
        <w:t>31</w:t>
      </w:r>
    </w:p>
    <w:p w14:paraId="65B8CBC8" w14:textId="77777777" w:rsidR="00692E10" w:rsidRPr="00596CF9" w:rsidRDefault="00692E10" w:rsidP="00D62736">
      <w:pPr>
        <w:spacing w:after="0"/>
        <w:ind w:left="720" w:hanging="360"/>
        <w:rPr>
          <w:rFonts w:ascii="Palatino Linotype" w:hAnsi="Palatino Linotype"/>
          <w:b/>
        </w:rPr>
      </w:pPr>
    </w:p>
    <w:p w14:paraId="7D6E9E9B" w14:textId="443240D9" w:rsidR="000C227A" w:rsidRPr="00EB20C1" w:rsidRDefault="000C227A" w:rsidP="009F1266">
      <w:pPr>
        <w:spacing w:after="0"/>
        <w:rPr>
          <w:rFonts w:ascii="Palatino Linotype" w:hAnsi="Palatino Linotype"/>
          <w:b/>
          <w:sz w:val="20"/>
          <w:szCs w:val="20"/>
        </w:rPr>
      </w:pPr>
      <w:r w:rsidRPr="00EB20C1">
        <w:rPr>
          <w:rFonts w:ascii="Palatino Linotype" w:hAnsi="Palatino Linotype"/>
          <w:b/>
          <w:sz w:val="20"/>
          <w:szCs w:val="20"/>
        </w:rPr>
        <w:t>MISSION</w:t>
      </w:r>
      <w:r w:rsidR="00825B9B" w:rsidRPr="00EB20C1">
        <w:rPr>
          <w:rFonts w:ascii="Palatino Linotype" w:hAnsi="Palatino Linotype"/>
          <w:b/>
          <w:sz w:val="20"/>
          <w:szCs w:val="20"/>
        </w:rPr>
        <w:t xml:space="preserve"> </w:t>
      </w:r>
    </w:p>
    <w:p w14:paraId="1D50ED8D" w14:textId="4533B6FF" w:rsidR="001A522E" w:rsidRPr="00EB20C1" w:rsidRDefault="001A522E" w:rsidP="009F1266">
      <w:pPr>
        <w:spacing w:after="0"/>
        <w:rPr>
          <w:rFonts w:ascii="Palatino Linotype" w:hAnsi="Palatino Linotype"/>
          <w:sz w:val="20"/>
          <w:szCs w:val="20"/>
        </w:rPr>
      </w:pPr>
      <w:r w:rsidRPr="00EB20C1">
        <w:rPr>
          <w:rFonts w:ascii="Palatino Linotype" w:hAnsi="Palatino Linotype"/>
          <w:sz w:val="20"/>
          <w:szCs w:val="20"/>
        </w:rPr>
        <w:t xml:space="preserve">Modeling </w:t>
      </w:r>
      <w:r w:rsidR="00D2757F" w:rsidRPr="00EB20C1">
        <w:rPr>
          <w:rFonts w:ascii="Palatino Linotype" w:hAnsi="Palatino Linotype"/>
          <w:sz w:val="20"/>
          <w:szCs w:val="20"/>
        </w:rPr>
        <w:t xml:space="preserve">interdisciplinary education in action: we apply </w:t>
      </w:r>
      <w:r w:rsidRPr="00EB20C1">
        <w:rPr>
          <w:rFonts w:ascii="Palatino Linotype" w:hAnsi="Palatino Linotype"/>
          <w:sz w:val="20"/>
          <w:szCs w:val="20"/>
        </w:rPr>
        <w:t xml:space="preserve">liberal education that cultivates engaged global citizens and supports lifelong learning. </w:t>
      </w:r>
      <w:r w:rsidR="00104F97" w:rsidRPr="00EB20C1">
        <w:rPr>
          <w:rFonts w:ascii="Palatino Linotype" w:hAnsi="Palatino Linotype"/>
          <w:sz w:val="20"/>
          <w:szCs w:val="20"/>
        </w:rPr>
        <w:t xml:space="preserve">Our individual and collective work is a public good that advances understanding of complex problems and </w:t>
      </w:r>
      <w:r w:rsidR="00CC0E6F" w:rsidRPr="00EB20C1">
        <w:rPr>
          <w:rFonts w:ascii="Palatino Linotype" w:hAnsi="Palatino Linotype"/>
          <w:sz w:val="20"/>
          <w:szCs w:val="20"/>
        </w:rPr>
        <w:t>societal wellbeing.</w:t>
      </w:r>
    </w:p>
    <w:p w14:paraId="4BDBFE6F" w14:textId="77777777" w:rsidR="000C227A" w:rsidRPr="00EB20C1" w:rsidRDefault="000C227A" w:rsidP="009F1266">
      <w:pPr>
        <w:spacing w:after="0"/>
        <w:rPr>
          <w:rFonts w:ascii="Palatino Linotype" w:hAnsi="Palatino Linotype"/>
          <w:b/>
          <w:sz w:val="20"/>
          <w:szCs w:val="20"/>
        </w:rPr>
      </w:pPr>
    </w:p>
    <w:p w14:paraId="51BCD3D8" w14:textId="77777777" w:rsidR="000C227A" w:rsidRPr="00EB20C1" w:rsidRDefault="000C227A" w:rsidP="009F1266">
      <w:pPr>
        <w:spacing w:after="0"/>
        <w:rPr>
          <w:rFonts w:ascii="Palatino Linotype" w:hAnsi="Palatino Linotype"/>
          <w:b/>
          <w:sz w:val="20"/>
          <w:szCs w:val="20"/>
        </w:rPr>
      </w:pPr>
      <w:r w:rsidRPr="00EB20C1">
        <w:rPr>
          <w:rFonts w:ascii="Palatino Linotype" w:hAnsi="Palatino Linotype"/>
          <w:b/>
          <w:sz w:val="20"/>
          <w:szCs w:val="20"/>
        </w:rPr>
        <w:t>VISION</w:t>
      </w:r>
    </w:p>
    <w:p w14:paraId="3DB2B475" w14:textId="50FDB769" w:rsidR="009F1266" w:rsidRPr="00EB20C1" w:rsidRDefault="00D2757F" w:rsidP="009F1266">
      <w:pPr>
        <w:spacing w:after="0"/>
        <w:rPr>
          <w:rFonts w:ascii="Palatino Linotype" w:hAnsi="Palatino Linotype"/>
          <w:sz w:val="20"/>
          <w:szCs w:val="20"/>
        </w:rPr>
      </w:pPr>
      <w:r w:rsidRPr="00EB20C1">
        <w:rPr>
          <w:rFonts w:ascii="Palatino Linotype" w:hAnsi="Palatino Linotype"/>
          <w:sz w:val="20"/>
          <w:szCs w:val="20"/>
        </w:rPr>
        <w:t>T</w:t>
      </w:r>
      <w:r w:rsidR="009F1266" w:rsidRPr="00EB20C1">
        <w:rPr>
          <w:rFonts w:ascii="Palatino Linotype" w:hAnsi="Palatino Linotype"/>
          <w:sz w:val="20"/>
          <w:szCs w:val="20"/>
        </w:rPr>
        <w:t>he</w:t>
      </w:r>
      <w:r w:rsidR="000C227A" w:rsidRPr="00EB20C1">
        <w:rPr>
          <w:rFonts w:ascii="Palatino Linotype" w:hAnsi="Palatino Linotype"/>
          <w:sz w:val="20"/>
          <w:szCs w:val="20"/>
        </w:rPr>
        <w:t xml:space="preserve"> Brooks College of Interdisciplinary Studies </w:t>
      </w:r>
      <w:r w:rsidR="009F1266" w:rsidRPr="00EB20C1">
        <w:rPr>
          <w:rFonts w:ascii="Palatino Linotype" w:hAnsi="Palatino Linotype"/>
          <w:sz w:val="20"/>
          <w:szCs w:val="20"/>
        </w:rPr>
        <w:t>serves as a regional and national model for integrative and global learning, innovative teaching, and sustainable, inclusive practices that empower students and expand access to higher education. The faculty and staff of Brooks College are deeply committed to not only advancing equity, inclusion</w:t>
      </w:r>
      <w:r w:rsidR="00406366">
        <w:rPr>
          <w:rFonts w:ascii="Palatino Linotype" w:hAnsi="Palatino Linotype"/>
          <w:sz w:val="20"/>
          <w:szCs w:val="20"/>
        </w:rPr>
        <w:t>,</w:t>
      </w:r>
      <w:r w:rsidR="009F1266" w:rsidRPr="00EB20C1">
        <w:rPr>
          <w:rFonts w:ascii="Palatino Linotype" w:hAnsi="Palatino Linotype"/>
          <w:sz w:val="20"/>
          <w:szCs w:val="20"/>
        </w:rPr>
        <w:t xml:space="preserve"> and diversity, but in leading Grand Valley State University in these values.</w:t>
      </w:r>
    </w:p>
    <w:p w14:paraId="36A1A00C" w14:textId="77777777" w:rsidR="000C227A" w:rsidRPr="00EB20C1" w:rsidRDefault="000C227A" w:rsidP="009F1266">
      <w:pPr>
        <w:spacing w:after="0"/>
        <w:rPr>
          <w:rFonts w:ascii="Palatino Linotype" w:hAnsi="Palatino Linotype"/>
          <w:b/>
          <w:sz w:val="20"/>
          <w:szCs w:val="20"/>
        </w:rPr>
      </w:pPr>
    </w:p>
    <w:p w14:paraId="7185C645" w14:textId="77777777" w:rsidR="000C227A" w:rsidRPr="00EB20C1" w:rsidRDefault="000C227A" w:rsidP="009F1266">
      <w:pPr>
        <w:spacing w:after="0"/>
        <w:rPr>
          <w:rFonts w:ascii="Palatino Linotype" w:hAnsi="Palatino Linotype"/>
          <w:b/>
          <w:sz w:val="20"/>
          <w:szCs w:val="20"/>
        </w:rPr>
      </w:pPr>
      <w:r w:rsidRPr="00EB20C1">
        <w:rPr>
          <w:rFonts w:ascii="Palatino Linotype" w:hAnsi="Palatino Linotype"/>
          <w:b/>
          <w:sz w:val="20"/>
          <w:szCs w:val="20"/>
        </w:rPr>
        <w:t>GUIDING PRINCIPLES</w:t>
      </w:r>
    </w:p>
    <w:p w14:paraId="08843BE3" w14:textId="239DA812" w:rsidR="000C227A" w:rsidRPr="00EB20C1" w:rsidRDefault="000C227A" w:rsidP="009F1266">
      <w:pPr>
        <w:spacing w:after="0"/>
        <w:rPr>
          <w:rFonts w:ascii="Palatino Linotype" w:hAnsi="Palatino Linotype"/>
          <w:i/>
          <w:sz w:val="20"/>
          <w:szCs w:val="20"/>
        </w:rPr>
      </w:pPr>
      <w:r w:rsidRPr="00EB20C1">
        <w:rPr>
          <w:rFonts w:ascii="Palatino Linotype" w:hAnsi="Palatino Linotype"/>
          <w:i/>
          <w:sz w:val="20"/>
          <w:szCs w:val="20"/>
        </w:rPr>
        <w:t>We value:</w:t>
      </w:r>
    </w:p>
    <w:p w14:paraId="53FA22AB" w14:textId="309B4F05" w:rsidR="000C227A" w:rsidRPr="00EB20C1" w:rsidRDefault="000C227A" w:rsidP="000C227A">
      <w:pPr>
        <w:spacing w:after="0"/>
        <w:ind w:left="720" w:hanging="360"/>
        <w:rPr>
          <w:rFonts w:ascii="Palatino Linotype" w:hAnsi="Palatino Linotype"/>
          <w:sz w:val="20"/>
          <w:szCs w:val="20"/>
        </w:rPr>
      </w:pPr>
      <w:r w:rsidRPr="00EB20C1">
        <w:rPr>
          <w:rFonts w:ascii="Palatino Linotype" w:hAnsi="Palatino Linotype"/>
          <w:sz w:val="20"/>
          <w:szCs w:val="20"/>
        </w:rPr>
        <w:t xml:space="preserve">A collegial and collaborative student-centered environment where we support each other and work together, </w:t>
      </w:r>
      <w:r w:rsidR="009F1266" w:rsidRPr="00EB20C1">
        <w:rPr>
          <w:rFonts w:ascii="Palatino Linotype" w:hAnsi="Palatino Linotype"/>
          <w:sz w:val="20"/>
          <w:szCs w:val="20"/>
        </w:rPr>
        <w:t xml:space="preserve">bridging fields and disciplines, </w:t>
      </w:r>
      <w:r w:rsidRPr="00EB20C1">
        <w:rPr>
          <w:rFonts w:ascii="Palatino Linotype" w:hAnsi="Palatino Linotype"/>
          <w:sz w:val="20"/>
          <w:szCs w:val="20"/>
        </w:rPr>
        <w:t>both within the college and across campus, in an open and transparent manner.</w:t>
      </w:r>
    </w:p>
    <w:p w14:paraId="3B45E987" w14:textId="7333918C" w:rsidR="009F1266" w:rsidRPr="00EB20C1" w:rsidRDefault="009F1266" w:rsidP="000C227A">
      <w:pPr>
        <w:spacing w:after="0"/>
        <w:ind w:left="720" w:hanging="360"/>
        <w:rPr>
          <w:rFonts w:ascii="Palatino Linotype" w:hAnsi="Palatino Linotype"/>
          <w:sz w:val="20"/>
          <w:szCs w:val="20"/>
        </w:rPr>
      </w:pPr>
      <w:r w:rsidRPr="00EB20C1">
        <w:rPr>
          <w:rFonts w:ascii="Palatino Linotype" w:hAnsi="Palatino Linotype"/>
          <w:sz w:val="20"/>
          <w:szCs w:val="20"/>
        </w:rPr>
        <w:t>Equity, inclusion, and diversity across our curriculum, faculty and staff, and the students and communities we serve.</w:t>
      </w:r>
    </w:p>
    <w:p w14:paraId="1C63A49E" w14:textId="429B7417" w:rsidR="00D2757F" w:rsidRPr="00EB20C1" w:rsidRDefault="00D2757F" w:rsidP="000C227A">
      <w:pPr>
        <w:spacing w:after="0"/>
        <w:ind w:left="720" w:hanging="360"/>
        <w:rPr>
          <w:rFonts w:ascii="Palatino Linotype" w:hAnsi="Palatino Linotype"/>
          <w:sz w:val="20"/>
          <w:szCs w:val="20"/>
        </w:rPr>
      </w:pPr>
      <w:r w:rsidRPr="00EB20C1">
        <w:rPr>
          <w:rFonts w:ascii="Palatino Linotype" w:hAnsi="Palatino Linotype"/>
          <w:sz w:val="20"/>
          <w:szCs w:val="20"/>
        </w:rPr>
        <w:t>Integrity in our student-first worldview, and integrity in our actions.</w:t>
      </w:r>
    </w:p>
    <w:p w14:paraId="60C17FEE" w14:textId="164E30AA" w:rsidR="00D2757F" w:rsidRPr="00EB20C1" w:rsidRDefault="00D2757F" w:rsidP="000C227A">
      <w:pPr>
        <w:spacing w:after="0"/>
        <w:ind w:left="720" w:hanging="360"/>
        <w:rPr>
          <w:rFonts w:ascii="Palatino Linotype" w:hAnsi="Palatino Linotype"/>
          <w:sz w:val="20"/>
          <w:szCs w:val="20"/>
        </w:rPr>
      </w:pPr>
      <w:r w:rsidRPr="00EB20C1">
        <w:rPr>
          <w:rFonts w:ascii="Palatino Linotype" w:hAnsi="Palatino Linotype"/>
          <w:sz w:val="20"/>
          <w:szCs w:val="20"/>
        </w:rPr>
        <w:t>Shared, democratic principles of self-governance and decision making.</w:t>
      </w:r>
    </w:p>
    <w:p w14:paraId="69C0C730" w14:textId="1B5BA5AA" w:rsidR="009F1266" w:rsidRPr="00EB20C1" w:rsidRDefault="009F1266" w:rsidP="000C227A">
      <w:pPr>
        <w:spacing w:after="0"/>
        <w:ind w:left="720" w:hanging="360"/>
        <w:rPr>
          <w:rFonts w:ascii="Palatino Linotype" w:hAnsi="Palatino Linotype"/>
          <w:sz w:val="20"/>
          <w:szCs w:val="20"/>
        </w:rPr>
      </w:pPr>
      <w:r w:rsidRPr="00EB20C1">
        <w:rPr>
          <w:rFonts w:ascii="Palatino Linotype" w:hAnsi="Palatino Linotype"/>
          <w:sz w:val="20"/>
          <w:szCs w:val="20"/>
        </w:rPr>
        <w:t>Global perspectives that support critical analysis of and engagement with complex systems and legacies across our teaching, scholarship, and community engaged work.</w:t>
      </w:r>
    </w:p>
    <w:p w14:paraId="291E7955" w14:textId="63C54ECC" w:rsidR="000C227A" w:rsidRPr="00EB20C1" w:rsidRDefault="009F1266" w:rsidP="000C227A">
      <w:pPr>
        <w:spacing w:after="0"/>
        <w:ind w:left="720" w:hanging="360"/>
        <w:rPr>
          <w:rFonts w:ascii="Palatino Linotype" w:hAnsi="Palatino Linotype"/>
          <w:sz w:val="20"/>
          <w:szCs w:val="20"/>
        </w:rPr>
      </w:pPr>
      <w:r w:rsidRPr="00EB20C1">
        <w:rPr>
          <w:rFonts w:ascii="Palatino Linotype" w:hAnsi="Palatino Linotype"/>
          <w:sz w:val="20"/>
          <w:szCs w:val="20"/>
        </w:rPr>
        <w:t>Action-oriented</w:t>
      </w:r>
      <w:r w:rsidR="000C227A" w:rsidRPr="00EB20C1">
        <w:rPr>
          <w:rFonts w:ascii="Palatino Linotype" w:hAnsi="Palatino Linotype"/>
          <w:sz w:val="20"/>
          <w:szCs w:val="20"/>
        </w:rPr>
        <w:t xml:space="preserve"> educational initiatives</w:t>
      </w:r>
      <w:r w:rsidRPr="00EB20C1">
        <w:rPr>
          <w:rFonts w:ascii="Palatino Linotype" w:hAnsi="Palatino Linotype"/>
          <w:sz w:val="20"/>
          <w:szCs w:val="20"/>
        </w:rPr>
        <w:t>, high impact practices,</w:t>
      </w:r>
      <w:r w:rsidR="000C227A" w:rsidRPr="00EB20C1">
        <w:rPr>
          <w:rFonts w:ascii="Palatino Linotype" w:hAnsi="Palatino Linotype"/>
          <w:sz w:val="20"/>
          <w:szCs w:val="20"/>
        </w:rPr>
        <w:t xml:space="preserve"> and experiential learning.</w:t>
      </w:r>
    </w:p>
    <w:p w14:paraId="11216AC1" w14:textId="3801FCE7" w:rsidR="000C227A" w:rsidRPr="00EB20C1" w:rsidRDefault="000C227A" w:rsidP="000C227A">
      <w:pPr>
        <w:spacing w:after="0"/>
        <w:ind w:left="720" w:hanging="360"/>
        <w:rPr>
          <w:rFonts w:ascii="Palatino Linotype" w:hAnsi="Palatino Linotype"/>
          <w:sz w:val="20"/>
          <w:szCs w:val="20"/>
        </w:rPr>
      </w:pPr>
      <w:r w:rsidRPr="00EB20C1">
        <w:rPr>
          <w:rFonts w:ascii="Palatino Linotype" w:hAnsi="Palatino Linotype"/>
          <w:sz w:val="20"/>
          <w:szCs w:val="20"/>
        </w:rPr>
        <w:t xml:space="preserve">Interdisciplinary research and teaching that </w:t>
      </w:r>
      <w:r w:rsidR="009F1266" w:rsidRPr="00EB20C1">
        <w:rPr>
          <w:rFonts w:ascii="Palatino Linotype" w:hAnsi="Palatino Linotype"/>
          <w:sz w:val="20"/>
          <w:szCs w:val="20"/>
        </w:rPr>
        <w:t>challenges</w:t>
      </w:r>
      <w:r w:rsidRPr="00EB20C1">
        <w:rPr>
          <w:rFonts w:ascii="Palatino Linotype" w:hAnsi="Palatino Linotype"/>
          <w:sz w:val="20"/>
          <w:szCs w:val="20"/>
        </w:rPr>
        <w:t xml:space="preserve"> </w:t>
      </w:r>
      <w:r w:rsidR="009F1266" w:rsidRPr="00EB20C1">
        <w:rPr>
          <w:rFonts w:ascii="Palatino Linotype" w:hAnsi="Palatino Linotype"/>
          <w:sz w:val="20"/>
          <w:szCs w:val="20"/>
        </w:rPr>
        <w:t xml:space="preserve">disciplinary and field boundaries, </w:t>
      </w:r>
      <w:r w:rsidRPr="00EB20C1">
        <w:rPr>
          <w:rFonts w:ascii="Palatino Linotype" w:hAnsi="Palatino Linotype"/>
          <w:sz w:val="20"/>
          <w:szCs w:val="20"/>
        </w:rPr>
        <w:t xml:space="preserve">expands </w:t>
      </w:r>
      <w:r w:rsidR="009F1266" w:rsidRPr="00EB20C1">
        <w:rPr>
          <w:rFonts w:ascii="Palatino Linotype" w:hAnsi="Palatino Linotype"/>
          <w:sz w:val="20"/>
          <w:szCs w:val="20"/>
        </w:rPr>
        <w:t>how we understand and define knowledge, and generate results-oriented work that can be applied to real-life problems and challenges.</w:t>
      </w:r>
    </w:p>
    <w:p w14:paraId="4A091C6B" w14:textId="50ADB1C3" w:rsidR="000C227A" w:rsidRPr="00EB20C1" w:rsidRDefault="000C227A" w:rsidP="000C227A">
      <w:pPr>
        <w:spacing w:after="0"/>
        <w:ind w:left="720" w:hanging="360"/>
        <w:rPr>
          <w:rFonts w:ascii="Palatino Linotype" w:hAnsi="Palatino Linotype"/>
          <w:sz w:val="20"/>
          <w:szCs w:val="20"/>
        </w:rPr>
      </w:pPr>
      <w:r w:rsidRPr="00EB20C1">
        <w:rPr>
          <w:rFonts w:ascii="Palatino Linotype" w:hAnsi="Palatino Linotype"/>
          <w:sz w:val="20"/>
          <w:szCs w:val="20"/>
        </w:rPr>
        <w:t>Risk-taking and innovation that encourages alternative approaches to scholarship, teaching, and learning.</w:t>
      </w:r>
    </w:p>
    <w:p w14:paraId="32897509" w14:textId="28D058D1" w:rsidR="00D2757F" w:rsidRPr="00EB20C1" w:rsidRDefault="00D2757F" w:rsidP="000C227A">
      <w:pPr>
        <w:spacing w:after="0"/>
        <w:ind w:left="720" w:hanging="360"/>
        <w:rPr>
          <w:rFonts w:ascii="Palatino Linotype" w:hAnsi="Palatino Linotype"/>
          <w:sz w:val="20"/>
          <w:szCs w:val="20"/>
        </w:rPr>
      </w:pPr>
      <w:r w:rsidRPr="00EB20C1">
        <w:rPr>
          <w:rFonts w:ascii="Palatino Linotype" w:hAnsi="Palatino Linotype"/>
          <w:sz w:val="20"/>
          <w:szCs w:val="20"/>
        </w:rPr>
        <w:t>Academic freedom to ask the questions that need to be asked, and approach the answers, however that might unfold.</w:t>
      </w:r>
    </w:p>
    <w:p w14:paraId="5A941873" w14:textId="24C29C61" w:rsidR="000C227A" w:rsidRPr="00EB20C1" w:rsidRDefault="000C227A" w:rsidP="00CC0E6F">
      <w:pPr>
        <w:tabs>
          <w:tab w:val="left" w:pos="7499"/>
        </w:tabs>
        <w:spacing w:after="0"/>
        <w:ind w:left="720" w:hanging="360"/>
        <w:rPr>
          <w:rFonts w:ascii="Palatino Linotype" w:hAnsi="Palatino Linotype"/>
          <w:sz w:val="20"/>
          <w:szCs w:val="20"/>
        </w:rPr>
      </w:pPr>
      <w:r w:rsidRPr="00EB20C1">
        <w:rPr>
          <w:rFonts w:ascii="Palatino Linotype" w:hAnsi="Palatino Linotype"/>
          <w:sz w:val="20"/>
          <w:szCs w:val="20"/>
        </w:rPr>
        <w:t>Social, environmental, and financial sustainability in</w:t>
      </w:r>
      <w:r w:rsidR="00CC0E6F" w:rsidRPr="00EB20C1">
        <w:rPr>
          <w:rFonts w:ascii="Palatino Linotype" w:hAnsi="Palatino Linotype"/>
          <w:sz w:val="20"/>
          <w:szCs w:val="20"/>
        </w:rPr>
        <w:t>tegrated into operations, planning, and decision making.</w:t>
      </w:r>
    </w:p>
    <w:p w14:paraId="4A7C3D8F" w14:textId="77777777" w:rsidR="000C227A" w:rsidRPr="00EB20C1" w:rsidRDefault="000C227A" w:rsidP="00D62736">
      <w:pPr>
        <w:spacing w:after="0"/>
        <w:ind w:left="720" w:hanging="360"/>
        <w:rPr>
          <w:rFonts w:ascii="Palatino Linotype" w:hAnsi="Palatino Linotype"/>
          <w:b/>
          <w:sz w:val="20"/>
          <w:szCs w:val="20"/>
        </w:rPr>
      </w:pPr>
    </w:p>
    <w:p w14:paraId="1B526F98" w14:textId="77777777" w:rsidR="00D62736" w:rsidRPr="00EB20C1" w:rsidRDefault="00D62736" w:rsidP="00D62736">
      <w:pPr>
        <w:spacing w:after="0"/>
        <w:ind w:left="720" w:hanging="360"/>
        <w:rPr>
          <w:rFonts w:ascii="Palatino Linotype" w:hAnsi="Palatino Linotype"/>
          <w:b/>
          <w:sz w:val="20"/>
          <w:szCs w:val="20"/>
        </w:rPr>
      </w:pPr>
      <w:r w:rsidRPr="00EB20C1">
        <w:rPr>
          <w:rFonts w:ascii="Palatino Linotype" w:hAnsi="Palatino Linotype"/>
          <w:b/>
          <w:sz w:val="20"/>
          <w:szCs w:val="20"/>
        </w:rPr>
        <w:t>Empowered Educational Experiences</w:t>
      </w:r>
    </w:p>
    <w:p w14:paraId="448FC920" w14:textId="53735F02" w:rsidR="00D62736" w:rsidRPr="00EB20C1" w:rsidRDefault="00406366" w:rsidP="00076330">
      <w:pPr>
        <w:ind w:left="720" w:hanging="360"/>
        <w:rPr>
          <w:rFonts w:ascii="Palatino Linotype" w:hAnsi="Palatino Linotype"/>
          <w:i/>
          <w:sz w:val="20"/>
          <w:szCs w:val="20"/>
        </w:rPr>
      </w:pPr>
      <w:r>
        <w:rPr>
          <w:rFonts w:ascii="Palatino Linotype" w:hAnsi="Palatino Linotype"/>
          <w:i/>
          <w:sz w:val="20"/>
          <w:szCs w:val="20"/>
        </w:rPr>
        <w:t xml:space="preserve">Multiple </w:t>
      </w:r>
      <w:r w:rsidR="00D62736" w:rsidRPr="00EB20C1">
        <w:rPr>
          <w:rFonts w:ascii="Palatino Linotype" w:hAnsi="Palatino Linotype"/>
          <w:i/>
          <w:sz w:val="20"/>
          <w:szCs w:val="20"/>
        </w:rPr>
        <w:t>xperiential learning and high-impact experiences that are accessible to all students</w:t>
      </w:r>
      <w:r w:rsidR="00A52A6E" w:rsidRPr="00EB20C1">
        <w:rPr>
          <w:rFonts w:ascii="Palatino Linotype" w:hAnsi="Palatino Linotype"/>
          <w:i/>
          <w:sz w:val="20"/>
          <w:szCs w:val="20"/>
        </w:rPr>
        <w:t xml:space="preserve"> </w:t>
      </w:r>
    </w:p>
    <w:p w14:paraId="5B239F39" w14:textId="09B3299E" w:rsidR="00076330" w:rsidRPr="00EB20C1" w:rsidRDefault="00076330" w:rsidP="00425D91">
      <w:pPr>
        <w:spacing w:after="0"/>
        <w:ind w:left="720" w:hanging="360"/>
        <w:rPr>
          <w:rFonts w:ascii="Palatino Linotype" w:hAnsi="Palatino Linotype"/>
          <w:sz w:val="20"/>
          <w:szCs w:val="20"/>
        </w:rPr>
      </w:pPr>
      <w:r w:rsidRPr="00EB20C1">
        <w:rPr>
          <w:rFonts w:ascii="Palatino Linotype" w:hAnsi="Palatino Linotype"/>
          <w:sz w:val="20"/>
          <w:szCs w:val="20"/>
        </w:rPr>
        <w:t>-</w:t>
      </w:r>
      <w:r w:rsidRPr="00EB20C1">
        <w:rPr>
          <w:rFonts w:ascii="Palatino Linotype" w:hAnsi="Palatino Linotype"/>
          <w:sz w:val="20"/>
          <w:szCs w:val="20"/>
        </w:rPr>
        <w:tab/>
      </w:r>
      <w:r w:rsidR="00CC7648" w:rsidRPr="00EB20C1">
        <w:rPr>
          <w:rFonts w:ascii="Palatino Linotype" w:hAnsi="Palatino Linotype"/>
          <w:sz w:val="20"/>
          <w:szCs w:val="20"/>
        </w:rPr>
        <w:t>H</w:t>
      </w:r>
      <w:r w:rsidRPr="00EB20C1">
        <w:rPr>
          <w:rFonts w:ascii="Palatino Linotype" w:hAnsi="Palatino Linotype"/>
          <w:sz w:val="20"/>
          <w:szCs w:val="20"/>
        </w:rPr>
        <w:t xml:space="preserve">igh-impact research opportunities for </w:t>
      </w:r>
      <w:r w:rsidR="002A1974" w:rsidRPr="00EB20C1">
        <w:rPr>
          <w:rFonts w:ascii="Palatino Linotype" w:hAnsi="Palatino Linotype"/>
          <w:sz w:val="20"/>
          <w:szCs w:val="20"/>
        </w:rPr>
        <w:t xml:space="preserve">all students, with particular attention to providing these experiences for </w:t>
      </w:r>
      <w:r w:rsidRPr="00EB20C1">
        <w:rPr>
          <w:rFonts w:ascii="Palatino Linotype" w:hAnsi="Palatino Linotype"/>
          <w:sz w:val="20"/>
          <w:szCs w:val="20"/>
        </w:rPr>
        <w:t>underserved students</w:t>
      </w:r>
    </w:p>
    <w:p w14:paraId="00A03C4E" w14:textId="77777777" w:rsidR="00CC7648" w:rsidRPr="00EB20C1" w:rsidRDefault="00CC7648" w:rsidP="00831C80">
      <w:pPr>
        <w:spacing w:after="0"/>
        <w:ind w:left="720" w:hanging="360"/>
        <w:rPr>
          <w:rFonts w:ascii="Palatino Linotype" w:hAnsi="Palatino Linotype"/>
          <w:sz w:val="20"/>
          <w:szCs w:val="20"/>
        </w:rPr>
      </w:pPr>
      <w:r w:rsidRPr="00EB20C1">
        <w:rPr>
          <w:rFonts w:ascii="Palatino Linotype" w:hAnsi="Palatino Linotype"/>
          <w:sz w:val="20"/>
          <w:szCs w:val="20"/>
        </w:rPr>
        <w:t>-     Additional first-year experience partnerships within Brooks and across campus</w:t>
      </w:r>
    </w:p>
    <w:p w14:paraId="1E3633B6" w14:textId="77777777" w:rsidR="00831C80" w:rsidRPr="00EB20C1" w:rsidRDefault="00831C80" w:rsidP="00831C80">
      <w:pPr>
        <w:spacing w:after="0"/>
        <w:ind w:left="720" w:hanging="360"/>
        <w:rPr>
          <w:rFonts w:ascii="Palatino Linotype" w:hAnsi="Palatino Linotype"/>
          <w:sz w:val="20"/>
          <w:szCs w:val="20"/>
        </w:rPr>
      </w:pPr>
      <w:r w:rsidRPr="00EB20C1">
        <w:rPr>
          <w:rFonts w:ascii="Palatino Linotype" w:hAnsi="Palatino Linotype"/>
          <w:sz w:val="20"/>
          <w:szCs w:val="20"/>
        </w:rPr>
        <w:lastRenderedPageBreak/>
        <w:t>-</w:t>
      </w:r>
      <w:r w:rsidRPr="00EB20C1">
        <w:rPr>
          <w:rFonts w:ascii="Palatino Linotype" w:hAnsi="Palatino Linotype"/>
          <w:sz w:val="20"/>
          <w:szCs w:val="20"/>
        </w:rPr>
        <w:tab/>
        <w:t>Involving alumni who are eager to be trained to coach/advise students on career pathways; this could pair with US 102 within a more robust first-year experience</w:t>
      </w:r>
    </w:p>
    <w:p w14:paraId="206A8983" w14:textId="46FCE199" w:rsidR="00831C80" w:rsidRPr="00EB20C1" w:rsidRDefault="00831C80" w:rsidP="00EE65BA">
      <w:pPr>
        <w:spacing w:after="0"/>
        <w:ind w:left="720" w:hanging="360"/>
        <w:rPr>
          <w:rFonts w:ascii="Palatino Linotype" w:hAnsi="Palatino Linotype"/>
          <w:sz w:val="20"/>
          <w:szCs w:val="20"/>
        </w:rPr>
      </w:pPr>
      <w:r w:rsidRPr="00EB20C1">
        <w:rPr>
          <w:rFonts w:ascii="Palatino Linotype" w:hAnsi="Palatino Linotype"/>
          <w:sz w:val="20"/>
          <w:szCs w:val="20"/>
        </w:rPr>
        <w:t>-</w:t>
      </w:r>
      <w:r w:rsidRPr="00EB20C1">
        <w:rPr>
          <w:rFonts w:ascii="Palatino Linotype" w:hAnsi="Palatino Linotype"/>
          <w:sz w:val="20"/>
          <w:szCs w:val="20"/>
        </w:rPr>
        <w:tab/>
        <w:t>Scalable global learning for all students, including virtual exchange</w:t>
      </w:r>
    </w:p>
    <w:p w14:paraId="2A53D14F" w14:textId="7138FC03" w:rsidR="002A1974" w:rsidRPr="00EB20C1" w:rsidRDefault="002A1974" w:rsidP="00EE65BA">
      <w:pPr>
        <w:spacing w:after="0"/>
        <w:ind w:left="720" w:hanging="360"/>
        <w:rPr>
          <w:rFonts w:ascii="Palatino Linotype" w:hAnsi="Palatino Linotype"/>
          <w:sz w:val="20"/>
          <w:szCs w:val="20"/>
        </w:rPr>
      </w:pPr>
      <w:r w:rsidRPr="00EB20C1">
        <w:rPr>
          <w:rFonts w:ascii="Palatino Linotype" w:hAnsi="Palatino Linotype"/>
          <w:sz w:val="20"/>
          <w:szCs w:val="20"/>
        </w:rPr>
        <w:t>-</w:t>
      </w:r>
      <w:r w:rsidRPr="00EB20C1">
        <w:rPr>
          <w:rFonts w:ascii="Palatino Linotype" w:hAnsi="Palatino Linotype"/>
          <w:sz w:val="20"/>
          <w:szCs w:val="20"/>
        </w:rPr>
        <w:tab/>
        <w:t xml:space="preserve">Improving recruitment and retention in Brooks degree programs </w:t>
      </w:r>
    </w:p>
    <w:p w14:paraId="7B19797C" w14:textId="435EE246" w:rsidR="002A1974" w:rsidRDefault="002A1974" w:rsidP="00EE65BA">
      <w:pPr>
        <w:spacing w:after="0"/>
        <w:ind w:left="720" w:hanging="360"/>
        <w:rPr>
          <w:rFonts w:ascii="Palatino Linotype" w:hAnsi="Palatino Linotype"/>
          <w:sz w:val="20"/>
          <w:szCs w:val="20"/>
        </w:rPr>
      </w:pPr>
      <w:r w:rsidRPr="00EB20C1">
        <w:rPr>
          <w:rFonts w:ascii="Palatino Linotype" w:hAnsi="Palatino Linotype"/>
          <w:sz w:val="20"/>
          <w:szCs w:val="20"/>
        </w:rPr>
        <w:t xml:space="preserve">- </w:t>
      </w:r>
      <w:r w:rsidRPr="00EB20C1">
        <w:rPr>
          <w:rFonts w:ascii="Palatino Linotype" w:hAnsi="Palatino Linotype"/>
          <w:sz w:val="20"/>
          <w:szCs w:val="20"/>
        </w:rPr>
        <w:tab/>
        <w:t>Greater participation by GVSU students in</w:t>
      </w:r>
      <w:r w:rsidR="004A736F" w:rsidRPr="00EB20C1">
        <w:rPr>
          <w:rFonts w:ascii="Palatino Linotype" w:hAnsi="Palatino Linotype"/>
          <w:sz w:val="20"/>
          <w:szCs w:val="20"/>
        </w:rPr>
        <w:t xml:space="preserve"> signature experiences such as Study Abroad, Study Away programs like Beaver Island Field School, </w:t>
      </w:r>
      <w:r w:rsidRPr="00EB20C1">
        <w:rPr>
          <w:rFonts w:ascii="Palatino Linotype" w:hAnsi="Palatino Linotype"/>
          <w:sz w:val="20"/>
          <w:szCs w:val="20"/>
        </w:rPr>
        <w:t>the Semester in Detroit program</w:t>
      </w:r>
      <w:r w:rsidR="004A736F" w:rsidRPr="00EB20C1">
        <w:rPr>
          <w:rFonts w:ascii="Palatino Linotype" w:hAnsi="Palatino Linotype"/>
          <w:sz w:val="20"/>
          <w:szCs w:val="20"/>
        </w:rPr>
        <w:t>, and new Summer in West Michigan program</w:t>
      </w:r>
    </w:p>
    <w:p w14:paraId="7CD7A114" w14:textId="178E333F" w:rsidR="00427DAD" w:rsidRPr="00EB20C1" w:rsidRDefault="00427DAD" w:rsidP="00EE65BA">
      <w:pPr>
        <w:spacing w:after="0"/>
        <w:ind w:left="720" w:hanging="360"/>
        <w:rPr>
          <w:rFonts w:ascii="Palatino Linotype" w:hAnsi="Palatino Linotype"/>
          <w:sz w:val="20"/>
          <w:szCs w:val="20"/>
        </w:rPr>
      </w:pPr>
      <w:r>
        <w:rPr>
          <w:rFonts w:ascii="Palatino Linotype" w:hAnsi="Palatino Linotype"/>
          <w:sz w:val="20"/>
          <w:szCs w:val="20"/>
        </w:rPr>
        <w:t xml:space="preserve">- </w:t>
      </w:r>
      <w:r>
        <w:rPr>
          <w:rFonts w:ascii="Palatino Linotype" w:hAnsi="Palatino Linotype"/>
          <w:sz w:val="20"/>
          <w:szCs w:val="20"/>
        </w:rPr>
        <w:tab/>
        <w:t>Writing Center activities will be resourced as an essential support for student success</w:t>
      </w:r>
    </w:p>
    <w:p w14:paraId="08E938A2" w14:textId="77777777" w:rsidR="00D2757F" w:rsidRPr="00EB20C1" w:rsidRDefault="00D2757F" w:rsidP="00D62736">
      <w:pPr>
        <w:spacing w:after="0"/>
        <w:ind w:left="720" w:hanging="360"/>
        <w:rPr>
          <w:rFonts w:ascii="Palatino Linotype" w:hAnsi="Palatino Linotype"/>
          <w:b/>
          <w:sz w:val="20"/>
          <w:szCs w:val="20"/>
        </w:rPr>
      </w:pPr>
    </w:p>
    <w:p w14:paraId="322A3501" w14:textId="5BEC0784" w:rsidR="00D62736" w:rsidRPr="00EB20C1" w:rsidRDefault="00D62736" w:rsidP="00D62736">
      <w:pPr>
        <w:spacing w:after="0"/>
        <w:ind w:left="720" w:hanging="360"/>
        <w:rPr>
          <w:rFonts w:ascii="Palatino Linotype" w:hAnsi="Palatino Linotype"/>
          <w:b/>
          <w:sz w:val="20"/>
          <w:szCs w:val="20"/>
        </w:rPr>
      </w:pPr>
      <w:r w:rsidRPr="00EB20C1">
        <w:rPr>
          <w:rFonts w:ascii="Palatino Linotype" w:hAnsi="Palatino Linotype"/>
          <w:b/>
          <w:sz w:val="20"/>
          <w:szCs w:val="20"/>
        </w:rPr>
        <w:t>Lifelong Learning</w:t>
      </w:r>
    </w:p>
    <w:p w14:paraId="71B244EA" w14:textId="40F82324" w:rsidR="00076330" w:rsidRPr="00EB20C1" w:rsidRDefault="00D62736" w:rsidP="00EB20C1">
      <w:pPr>
        <w:spacing w:after="0"/>
        <w:ind w:left="360"/>
        <w:rPr>
          <w:rFonts w:ascii="Palatino Linotype" w:hAnsi="Palatino Linotype"/>
          <w:i/>
          <w:sz w:val="20"/>
          <w:szCs w:val="20"/>
        </w:rPr>
      </w:pPr>
      <w:r w:rsidRPr="00EB20C1">
        <w:rPr>
          <w:rFonts w:ascii="Palatino Linotype" w:hAnsi="Palatino Linotype"/>
          <w:i/>
          <w:sz w:val="20"/>
          <w:szCs w:val="20"/>
        </w:rPr>
        <w:t>Modeling and inspiring learning as a lifetime pursuit; programs to serve adult learners; programs that involve alumni</w:t>
      </w:r>
    </w:p>
    <w:p w14:paraId="440E1FDA" w14:textId="162ED3C4" w:rsidR="002A1974" w:rsidRPr="00EB20C1" w:rsidRDefault="00D62736" w:rsidP="00D62736">
      <w:pPr>
        <w:spacing w:after="0"/>
        <w:ind w:left="720" w:hanging="360"/>
        <w:rPr>
          <w:rFonts w:ascii="Palatino Linotype" w:hAnsi="Palatino Linotype"/>
          <w:sz w:val="20"/>
          <w:szCs w:val="20"/>
        </w:rPr>
      </w:pPr>
      <w:r w:rsidRPr="00EB20C1">
        <w:rPr>
          <w:rFonts w:ascii="Palatino Linotype" w:hAnsi="Palatino Linotype"/>
          <w:sz w:val="20"/>
          <w:szCs w:val="20"/>
        </w:rPr>
        <w:t>-</w:t>
      </w:r>
      <w:r w:rsidRPr="00EB20C1">
        <w:rPr>
          <w:rFonts w:ascii="Palatino Linotype" w:hAnsi="Palatino Linotype"/>
          <w:sz w:val="20"/>
          <w:szCs w:val="20"/>
        </w:rPr>
        <w:tab/>
      </w:r>
      <w:r w:rsidR="00037AD5" w:rsidRPr="00EB20C1">
        <w:rPr>
          <w:rFonts w:ascii="Palatino Linotype" w:hAnsi="Palatino Linotype"/>
          <w:sz w:val="20"/>
          <w:szCs w:val="20"/>
        </w:rPr>
        <w:t xml:space="preserve">Continue to increase enrollment in the two </w:t>
      </w:r>
      <w:r w:rsidR="002A1974" w:rsidRPr="00EB20C1">
        <w:rPr>
          <w:rFonts w:ascii="Palatino Linotype" w:hAnsi="Palatino Linotype"/>
          <w:sz w:val="20"/>
          <w:szCs w:val="20"/>
        </w:rPr>
        <w:t>Bachelor of Applied Science (BAS) degree</w:t>
      </w:r>
      <w:r w:rsidR="00037AD5" w:rsidRPr="00EB20C1">
        <w:rPr>
          <w:rFonts w:ascii="Palatino Linotype" w:hAnsi="Palatino Linotype"/>
          <w:sz w:val="20"/>
          <w:szCs w:val="20"/>
        </w:rPr>
        <w:t xml:space="preserve">s: Professional Innovation and Leadership &amp; Business Fundamentals; consider </w:t>
      </w:r>
      <w:r w:rsidR="008F0070" w:rsidRPr="00EB20C1">
        <w:rPr>
          <w:rFonts w:ascii="Palatino Linotype" w:hAnsi="Palatino Linotype"/>
          <w:sz w:val="20"/>
          <w:szCs w:val="20"/>
        </w:rPr>
        <w:t xml:space="preserve">creating and adding </w:t>
      </w:r>
      <w:r w:rsidR="00037AD5" w:rsidRPr="00EB20C1">
        <w:rPr>
          <w:rFonts w:ascii="Palatino Linotype" w:hAnsi="Palatino Linotype"/>
          <w:sz w:val="20"/>
          <w:szCs w:val="20"/>
        </w:rPr>
        <w:t xml:space="preserve">additional degrees to match interest/need </w:t>
      </w:r>
    </w:p>
    <w:p w14:paraId="6DA4F78B" w14:textId="0580308F" w:rsidR="00076330" w:rsidRPr="00EB20C1" w:rsidRDefault="00D62736" w:rsidP="007C4ADA">
      <w:pPr>
        <w:spacing w:after="0"/>
        <w:ind w:left="720" w:hanging="360"/>
        <w:rPr>
          <w:rFonts w:ascii="Palatino Linotype" w:hAnsi="Palatino Linotype"/>
          <w:sz w:val="20"/>
          <w:szCs w:val="20"/>
        </w:rPr>
      </w:pPr>
      <w:r w:rsidRPr="00EB20C1">
        <w:rPr>
          <w:rFonts w:ascii="Palatino Linotype" w:hAnsi="Palatino Linotype"/>
          <w:sz w:val="20"/>
          <w:szCs w:val="20"/>
        </w:rPr>
        <w:t>-</w:t>
      </w:r>
      <w:r w:rsidRPr="00EB20C1">
        <w:rPr>
          <w:rFonts w:ascii="Palatino Linotype" w:hAnsi="Palatino Linotype"/>
          <w:sz w:val="20"/>
          <w:szCs w:val="20"/>
        </w:rPr>
        <w:tab/>
      </w:r>
      <w:r w:rsidR="002A1974" w:rsidRPr="00EB20C1">
        <w:rPr>
          <w:rFonts w:ascii="Palatino Linotype" w:hAnsi="Palatino Linotype"/>
          <w:sz w:val="20"/>
          <w:szCs w:val="20"/>
        </w:rPr>
        <w:t>H</w:t>
      </w:r>
      <w:r w:rsidRPr="00EB20C1">
        <w:rPr>
          <w:rFonts w:ascii="Palatino Linotype" w:hAnsi="Palatino Linotype"/>
          <w:sz w:val="20"/>
          <w:szCs w:val="20"/>
        </w:rPr>
        <w:t xml:space="preserve">igher education for incarcerated populations (including potential </w:t>
      </w:r>
      <w:r w:rsidR="008F0070" w:rsidRPr="00EB20C1">
        <w:rPr>
          <w:rFonts w:ascii="Palatino Linotype" w:hAnsi="Palatino Linotype"/>
          <w:sz w:val="20"/>
          <w:szCs w:val="20"/>
        </w:rPr>
        <w:t xml:space="preserve">involvement </w:t>
      </w:r>
      <w:r w:rsidRPr="00EB20C1">
        <w:rPr>
          <w:rFonts w:ascii="Palatino Linotype" w:hAnsi="Palatino Linotype"/>
          <w:sz w:val="20"/>
          <w:szCs w:val="20"/>
        </w:rPr>
        <w:t xml:space="preserve">with Bellamy Woods Correctional Facility </w:t>
      </w:r>
      <w:r w:rsidR="007C4ADA" w:rsidRPr="00EB20C1">
        <w:rPr>
          <w:rFonts w:ascii="Palatino Linotype" w:hAnsi="Palatino Linotype"/>
          <w:sz w:val="20"/>
          <w:szCs w:val="20"/>
        </w:rPr>
        <w:t>Program</w:t>
      </w:r>
      <w:r w:rsidRPr="00EB20C1">
        <w:rPr>
          <w:rFonts w:ascii="Palatino Linotype" w:hAnsi="Palatino Linotype"/>
          <w:sz w:val="20"/>
          <w:szCs w:val="20"/>
        </w:rPr>
        <w:t>)</w:t>
      </w:r>
    </w:p>
    <w:p w14:paraId="6CB97060" w14:textId="4250B5D3" w:rsidR="00831C80" w:rsidRPr="00EB20C1" w:rsidRDefault="00831C80" w:rsidP="00831C80">
      <w:pPr>
        <w:pStyle w:val="ListParagraph"/>
        <w:numPr>
          <w:ilvl w:val="0"/>
          <w:numId w:val="1"/>
        </w:numPr>
        <w:rPr>
          <w:rFonts w:ascii="Palatino Linotype" w:eastAsia="Times New Roman" w:hAnsi="Palatino Linotype"/>
          <w:sz w:val="20"/>
          <w:szCs w:val="20"/>
        </w:rPr>
      </w:pPr>
      <w:r w:rsidRPr="00EB20C1">
        <w:rPr>
          <w:rFonts w:ascii="Palatino Linotype" w:eastAsia="Times New Roman" w:hAnsi="Palatino Linotype"/>
          <w:sz w:val="20"/>
          <w:szCs w:val="20"/>
        </w:rPr>
        <w:t>Faculty development of competence-based educational approaches to our courses and curriculum, especially to serve adult learners, veterans, and students with various additional barriers to accessing higher education</w:t>
      </w:r>
    </w:p>
    <w:p w14:paraId="1CB9B848" w14:textId="0BB52730" w:rsidR="007C4ADA" w:rsidRPr="00EB20C1" w:rsidRDefault="00EC3902" w:rsidP="00831C80">
      <w:pPr>
        <w:pStyle w:val="ListParagraph"/>
        <w:numPr>
          <w:ilvl w:val="0"/>
          <w:numId w:val="1"/>
        </w:numPr>
        <w:rPr>
          <w:rFonts w:ascii="Palatino Linotype" w:eastAsia="Times New Roman" w:hAnsi="Palatino Linotype"/>
          <w:sz w:val="20"/>
          <w:szCs w:val="20"/>
        </w:rPr>
      </w:pPr>
      <w:r w:rsidRPr="00EB20C1">
        <w:rPr>
          <w:rFonts w:ascii="Palatino Linotype" w:eastAsia="Times New Roman" w:hAnsi="Palatino Linotype"/>
          <w:sz w:val="20"/>
          <w:szCs w:val="20"/>
        </w:rPr>
        <w:t>Faculty modeling interdisciplinary research, scholarly, and creative projects for our students</w:t>
      </w:r>
      <w:r w:rsidR="000E6CC0" w:rsidRPr="00EB20C1">
        <w:rPr>
          <w:rFonts w:ascii="Palatino Linotype" w:eastAsia="Times New Roman" w:hAnsi="Palatino Linotype"/>
          <w:sz w:val="20"/>
          <w:szCs w:val="20"/>
        </w:rPr>
        <w:t>, and inform our interdisciplinary teaching and advance the public good</w:t>
      </w:r>
    </w:p>
    <w:p w14:paraId="21190DD6" w14:textId="77777777" w:rsidR="00831C80" w:rsidRPr="00EB20C1" w:rsidRDefault="00831C80" w:rsidP="00831C80">
      <w:pPr>
        <w:pStyle w:val="ListParagraph"/>
        <w:numPr>
          <w:ilvl w:val="0"/>
          <w:numId w:val="1"/>
        </w:numPr>
        <w:rPr>
          <w:rFonts w:ascii="Palatino Linotype" w:eastAsia="Times New Roman" w:hAnsi="Palatino Linotype"/>
          <w:sz w:val="20"/>
          <w:szCs w:val="20"/>
        </w:rPr>
      </w:pPr>
      <w:r w:rsidRPr="00EB20C1">
        <w:rPr>
          <w:rFonts w:ascii="Palatino Linotype" w:eastAsia="Times New Roman" w:hAnsi="Palatino Linotype"/>
          <w:sz w:val="20"/>
          <w:szCs w:val="20"/>
        </w:rPr>
        <w:t>Involving alumni who are eager to be trained to coach/advise students on career pathways; this could pair with US 102 within a more robust first-year experience</w:t>
      </w:r>
    </w:p>
    <w:p w14:paraId="59348110" w14:textId="77777777" w:rsidR="00076330" w:rsidRPr="00EB20C1" w:rsidRDefault="00076330" w:rsidP="00076330">
      <w:pPr>
        <w:spacing w:after="0"/>
        <w:ind w:left="720" w:hanging="360"/>
        <w:rPr>
          <w:rFonts w:ascii="Palatino Linotype" w:hAnsi="Palatino Linotype"/>
          <w:sz w:val="20"/>
          <w:szCs w:val="20"/>
        </w:rPr>
      </w:pPr>
    </w:p>
    <w:p w14:paraId="4E48371A" w14:textId="77777777" w:rsidR="00D62736" w:rsidRPr="00EB20C1" w:rsidRDefault="00D62736" w:rsidP="00D62736">
      <w:pPr>
        <w:spacing w:after="0"/>
        <w:ind w:left="720" w:hanging="360"/>
        <w:rPr>
          <w:rFonts w:ascii="Palatino Linotype" w:hAnsi="Palatino Linotype"/>
          <w:b/>
          <w:sz w:val="20"/>
          <w:szCs w:val="20"/>
        </w:rPr>
      </w:pPr>
      <w:r w:rsidRPr="00EB20C1">
        <w:rPr>
          <w:rFonts w:ascii="Palatino Linotype" w:hAnsi="Palatino Linotype"/>
          <w:b/>
          <w:sz w:val="20"/>
          <w:szCs w:val="20"/>
        </w:rPr>
        <w:t>Educational Equity</w:t>
      </w:r>
    </w:p>
    <w:p w14:paraId="6F4E2779" w14:textId="7E28A37B" w:rsidR="00950A2F" w:rsidRDefault="00950A2F" w:rsidP="00AD7228">
      <w:pPr>
        <w:pStyle w:val="ListParagraph"/>
        <w:numPr>
          <w:ilvl w:val="0"/>
          <w:numId w:val="1"/>
        </w:numPr>
        <w:rPr>
          <w:rFonts w:ascii="Palatino Linotype" w:eastAsia="Times New Roman" w:hAnsi="Palatino Linotype"/>
          <w:sz w:val="20"/>
          <w:szCs w:val="20"/>
        </w:rPr>
      </w:pPr>
      <w:r>
        <w:rPr>
          <w:rFonts w:ascii="Palatino Linotype" w:eastAsia="Times New Roman" w:hAnsi="Palatino Linotype"/>
          <w:sz w:val="20"/>
          <w:szCs w:val="20"/>
        </w:rPr>
        <w:t xml:space="preserve">SEL Strategic Plan will be finalized and acted upon </w:t>
      </w:r>
    </w:p>
    <w:p w14:paraId="4376B6B0" w14:textId="41B05102" w:rsidR="00AD7228" w:rsidRPr="00EB20C1" w:rsidRDefault="00AD7228" w:rsidP="00AD7228">
      <w:pPr>
        <w:pStyle w:val="ListParagraph"/>
        <w:numPr>
          <w:ilvl w:val="0"/>
          <w:numId w:val="1"/>
        </w:numPr>
        <w:rPr>
          <w:rFonts w:ascii="Palatino Linotype" w:eastAsia="Times New Roman" w:hAnsi="Palatino Linotype"/>
          <w:sz w:val="20"/>
          <w:szCs w:val="20"/>
        </w:rPr>
      </w:pPr>
      <w:r w:rsidRPr="00EB20C1">
        <w:rPr>
          <w:rFonts w:ascii="Palatino Linotype" w:eastAsia="Times New Roman" w:hAnsi="Palatino Linotype"/>
          <w:sz w:val="20"/>
          <w:szCs w:val="20"/>
        </w:rPr>
        <w:t>Faculty gain expertise in inclusive teaching practices (ideally through the Pew FTLC Inclusive Excellence curriculum) and update their syllabi, assignment, and classroom/online teaching practices for greater inclusion, accessibility, and equity</w:t>
      </w:r>
    </w:p>
    <w:p w14:paraId="3C4B5A66" w14:textId="77777777" w:rsidR="00AD7228" w:rsidRPr="00EB20C1" w:rsidRDefault="00AD7228" w:rsidP="00AD7228">
      <w:pPr>
        <w:pStyle w:val="ListParagraph"/>
        <w:numPr>
          <w:ilvl w:val="0"/>
          <w:numId w:val="1"/>
        </w:numPr>
        <w:rPr>
          <w:rFonts w:ascii="Palatino Linotype" w:eastAsia="Times New Roman" w:hAnsi="Palatino Linotype"/>
          <w:sz w:val="20"/>
          <w:szCs w:val="20"/>
        </w:rPr>
      </w:pPr>
      <w:r w:rsidRPr="00EB20C1">
        <w:rPr>
          <w:rFonts w:ascii="Palatino Linotype" w:eastAsia="Times New Roman" w:hAnsi="Palatino Linotype"/>
          <w:sz w:val="20"/>
          <w:szCs w:val="20"/>
        </w:rPr>
        <w:t>DEI-focused learning experiences for faculty and staff that are meaningful and build community</w:t>
      </w:r>
    </w:p>
    <w:p w14:paraId="31D7DA71" w14:textId="77777777" w:rsidR="00F65AAD" w:rsidRPr="00EB20C1" w:rsidRDefault="00F65AAD" w:rsidP="00AD7228">
      <w:pPr>
        <w:pStyle w:val="ListParagraph"/>
        <w:numPr>
          <w:ilvl w:val="0"/>
          <w:numId w:val="1"/>
        </w:numPr>
        <w:rPr>
          <w:rFonts w:ascii="Palatino Linotype" w:eastAsia="Times New Roman" w:hAnsi="Palatino Linotype"/>
          <w:sz w:val="20"/>
          <w:szCs w:val="20"/>
        </w:rPr>
      </w:pPr>
      <w:r w:rsidRPr="00EB20C1">
        <w:rPr>
          <w:rFonts w:ascii="Palatino Linotype" w:eastAsia="Times New Roman" w:hAnsi="Palatino Linotype"/>
          <w:sz w:val="20"/>
          <w:szCs w:val="20"/>
        </w:rPr>
        <w:t>Identify and reduce (or eliminate) equity gaps in DFW rates for BCOIS courses/sections</w:t>
      </w:r>
    </w:p>
    <w:p w14:paraId="40E3DD4B" w14:textId="77777777" w:rsidR="00D62736" w:rsidRPr="00EB20C1" w:rsidRDefault="00D62736" w:rsidP="00D62736">
      <w:pPr>
        <w:pStyle w:val="ListParagraph"/>
        <w:numPr>
          <w:ilvl w:val="0"/>
          <w:numId w:val="1"/>
        </w:numPr>
        <w:rPr>
          <w:rFonts w:ascii="Palatino Linotype" w:eastAsia="Times New Roman" w:hAnsi="Palatino Linotype"/>
          <w:sz w:val="20"/>
          <w:szCs w:val="20"/>
        </w:rPr>
      </w:pPr>
      <w:r w:rsidRPr="00EB20C1">
        <w:rPr>
          <w:rFonts w:ascii="Palatino Linotype" w:eastAsia="Times New Roman" w:hAnsi="Palatino Linotype"/>
          <w:sz w:val="20"/>
          <w:szCs w:val="20"/>
        </w:rPr>
        <w:t>More affordable texts and OERs (Online Educational Resources)</w:t>
      </w:r>
    </w:p>
    <w:p w14:paraId="00AD6196" w14:textId="77777777" w:rsidR="00D62736" w:rsidRPr="00EB20C1" w:rsidRDefault="00D62736" w:rsidP="00D62736">
      <w:pPr>
        <w:pStyle w:val="ListParagraph"/>
        <w:numPr>
          <w:ilvl w:val="0"/>
          <w:numId w:val="1"/>
        </w:numPr>
        <w:rPr>
          <w:rFonts w:ascii="Palatino Linotype" w:eastAsia="Times New Roman" w:hAnsi="Palatino Linotype"/>
          <w:sz w:val="20"/>
          <w:szCs w:val="20"/>
        </w:rPr>
      </w:pPr>
      <w:r w:rsidRPr="00EB20C1">
        <w:rPr>
          <w:rFonts w:ascii="Palatino Linotype" w:eastAsia="Times New Roman" w:hAnsi="Palatino Linotype"/>
          <w:sz w:val="20"/>
          <w:szCs w:val="20"/>
        </w:rPr>
        <w:t>Scalable global learning for all students, including virtual exchange</w:t>
      </w:r>
    </w:p>
    <w:p w14:paraId="16857B15" w14:textId="77777777" w:rsidR="00831C80" w:rsidRPr="00EB20C1" w:rsidRDefault="00831C80" w:rsidP="00D62736">
      <w:pPr>
        <w:pStyle w:val="ListParagraph"/>
        <w:numPr>
          <w:ilvl w:val="0"/>
          <w:numId w:val="1"/>
        </w:numPr>
        <w:rPr>
          <w:rFonts w:ascii="Palatino Linotype" w:eastAsia="Times New Roman" w:hAnsi="Palatino Linotype"/>
          <w:sz w:val="20"/>
          <w:szCs w:val="20"/>
        </w:rPr>
      </w:pPr>
      <w:r w:rsidRPr="00EB20C1">
        <w:rPr>
          <w:rFonts w:ascii="Palatino Linotype" w:eastAsia="Times New Roman" w:hAnsi="Palatino Linotype"/>
          <w:sz w:val="20"/>
          <w:szCs w:val="20"/>
        </w:rPr>
        <w:t>Develop mentoring programs and more to ensure success and retention of faculty/staff (including cohort of cluster-hired faculty)</w:t>
      </w:r>
    </w:p>
    <w:p w14:paraId="435E69CA" w14:textId="77777777" w:rsidR="00EB20C1" w:rsidRDefault="00EB20C1" w:rsidP="002A7139">
      <w:pPr>
        <w:spacing w:after="0" w:line="240" w:lineRule="auto"/>
        <w:ind w:firstLine="360"/>
        <w:rPr>
          <w:rFonts w:ascii="Palatino Linotype" w:eastAsia="Times New Roman" w:hAnsi="Palatino Linotype"/>
          <w:b/>
          <w:bCs/>
          <w:sz w:val="20"/>
          <w:szCs w:val="20"/>
        </w:rPr>
      </w:pPr>
    </w:p>
    <w:p w14:paraId="4CED01E8" w14:textId="6D146B1F" w:rsidR="002A7139" w:rsidRPr="00EB20C1" w:rsidRDefault="002A7139" w:rsidP="002A7139">
      <w:pPr>
        <w:spacing w:after="0" w:line="240" w:lineRule="auto"/>
        <w:ind w:firstLine="360"/>
        <w:rPr>
          <w:rFonts w:ascii="Palatino Linotype" w:eastAsia="Times New Roman" w:hAnsi="Palatino Linotype"/>
          <w:b/>
          <w:bCs/>
          <w:sz w:val="20"/>
          <w:szCs w:val="20"/>
        </w:rPr>
      </w:pPr>
      <w:r w:rsidRPr="00EB20C1">
        <w:rPr>
          <w:rFonts w:ascii="Palatino Linotype" w:eastAsia="Times New Roman" w:hAnsi="Palatino Linotype"/>
          <w:b/>
          <w:bCs/>
          <w:sz w:val="20"/>
          <w:szCs w:val="20"/>
        </w:rPr>
        <w:t>Force for the Common Good</w:t>
      </w:r>
    </w:p>
    <w:p w14:paraId="18FDC3E7" w14:textId="24AEB7F3" w:rsidR="00AB282A" w:rsidRPr="00EB20C1" w:rsidRDefault="002A7139" w:rsidP="00AB282A">
      <w:pPr>
        <w:spacing w:after="0" w:line="240" w:lineRule="auto"/>
        <w:ind w:left="720" w:hanging="360"/>
        <w:rPr>
          <w:rFonts w:ascii="Palatino Linotype" w:eastAsia="Times New Roman" w:hAnsi="Palatino Linotype"/>
          <w:sz w:val="20"/>
          <w:szCs w:val="20"/>
        </w:rPr>
      </w:pPr>
      <w:r w:rsidRPr="00EB20C1">
        <w:rPr>
          <w:rFonts w:ascii="Palatino Linotype" w:eastAsia="Times New Roman" w:hAnsi="Palatino Linotype"/>
          <w:sz w:val="20"/>
          <w:szCs w:val="20"/>
        </w:rPr>
        <w:t>-</w:t>
      </w:r>
      <w:r w:rsidRPr="00EB20C1">
        <w:rPr>
          <w:rFonts w:ascii="Palatino Linotype" w:eastAsia="Times New Roman" w:hAnsi="Palatino Linotype"/>
          <w:sz w:val="20"/>
          <w:szCs w:val="20"/>
        </w:rPr>
        <w:tab/>
      </w:r>
      <w:r w:rsidR="00654534" w:rsidRPr="00EB20C1">
        <w:rPr>
          <w:rFonts w:ascii="Palatino Linotype" w:eastAsia="Times New Roman" w:hAnsi="Palatino Linotype"/>
          <w:sz w:val="20"/>
          <w:szCs w:val="20"/>
        </w:rPr>
        <w:t>Practice civil discourse within the college and lead and model civil discourse for students and communities</w:t>
      </w:r>
    </w:p>
    <w:p w14:paraId="66B349CF" w14:textId="0C05BCFF" w:rsidR="002A7139" w:rsidRPr="00EB20C1" w:rsidRDefault="00654534" w:rsidP="00AB282A">
      <w:pPr>
        <w:spacing w:after="0" w:line="240" w:lineRule="auto"/>
        <w:ind w:left="720" w:hanging="360"/>
        <w:rPr>
          <w:rFonts w:ascii="Palatino Linotype" w:eastAsia="Times New Roman" w:hAnsi="Palatino Linotype"/>
          <w:sz w:val="20"/>
          <w:szCs w:val="20"/>
        </w:rPr>
      </w:pPr>
      <w:r w:rsidRPr="00EB20C1">
        <w:rPr>
          <w:rFonts w:ascii="Palatino Linotype" w:eastAsia="Times New Roman" w:hAnsi="Palatino Linotype"/>
          <w:sz w:val="20"/>
          <w:szCs w:val="20"/>
        </w:rPr>
        <w:t>-</w:t>
      </w:r>
      <w:r w:rsidRPr="00EB20C1">
        <w:rPr>
          <w:rFonts w:ascii="Palatino Linotype" w:eastAsia="Times New Roman" w:hAnsi="Palatino Linotype"/>
          <w:sz w:val="20"/>
          <w:szCs w:val="20"/>
        </w:rPr>
        <w:tab/>
      </w:r>
      <w:r w:rsidR="002A7139" w:rsidRPr="00EB20C1">
        <w:rPr>
          <w:rFonts w:ascii="Palatino Linotype" w:eastAsia="Times New Roman" w:hAnsi="Palatino Linotype"/>
          <w:sz w:val="20"/>
          <w:szCs w:val="20"/>
        </w:rPr>
        <w:t>I</w:t>
      </w:r>
      <w:r w:rsidR="00D21FFF" w:rsidRPr="00EB20C1">
        <w:rPr>
          <w:rFonts w:ascii="Palatino Linotype" w:eastAsia="Times New Roman" w:hAnsi="Palatino Linotype"/>
          <w:sz w:val="20"/>
          <w:szCs w:val="20"/>
        </w:rPr>
        <w:t>ncrease opportunities for students, faculty, and staff to engage in sustained reciprocal partnerships with local communities</w:t>
      </w:r>
      <w:r w:rsidR="0030147C" w:rsidRPr="00EB20C1">
        <w:rPr>
          <w:rFonts w:ascii="Palatino Linotype" w:eastAsia="Times New Roman" w:hAnsi="Palatino Linotype"/>
          <w:sz w:val="20"/>
          <w:szCs w:val="20"/>
        </w:rPr>
        <w:t xml:space="preserve"> (examples: ENS partnerships/placements, HNR 300 opportunities)</w:t>
      </w:r>
    </w:p>
    <w:p w14:paraId="7DE82299" w14:textId="7BCB6755" w:rsidR="0030147C" w:rsidRPr="00EB20C1" w:rsidRDefault="0030147C" w:rsidP="0030147C">
      <w:pPr>
        <w:spacing w:after="0" w:line="240" w:lineRule="auto"/>
        <w:ind w:left="720" w:hanging="360"/>
        <w:rPr>
          <w:rFonts w:ascii="Palatino Linotype" w:eastAsia="Times New Roman" w:hAnsi="Palatino Linotype"/>
          <w:sz w:val="20"/>
          <w:szCs w:val="20"/>
        </w:rPr>
      </w:pPr>
      <w:r w:rsidRPr="00EB20C1">
        <w:rPr>
          <w:rFonts w:ascii="Palatino Linotype" w:eastAsia="Times New Roman" w:hAnsi="Palatino Linotype"/>
          <w:sz w:val="20"/>
          <w:szCs w:val="20"/>
        </w:rPr>
        <w:t xml:space="preserve">- </w:t>
      </w:r>
      <w:r w:rsidRPr="00EB20C1">
        <w:rPr>
          <w:rFonts w:ascii="Palatino Linotype" w:eastAsia="Times New Roman" w:hAnsi="Palatino Linotype"/>
          <w:sz w:val="20"/>
          <w:szCs w:val="20"/>
        </w:rPr>
        <w:tab/>
      </w:r>
      <w:r w:rsidRPr="00EA2223">
        <w:rPr>
          <w:rFonts w:ascii="Palatino Linotype" w:eastAsia="Times New Roman" w:hAnsi="Palatino Linotype"/>
          <w:sz w:val="20"/>
          <w:szCs w:val="20"/>
        </w:rPr>
        <w:t xml:space="preserve">Support scholarship and curricula </w:t>
      </w:r>
      <w:r w:rsidR="00A778F8" w:rsidRPr="00EA2223">
        <w:rPr>
          <w:rFonts w:ascii="Palatino Linotype" w:eastAsia="Times New Roman" w:hAnsi="Palatino Linotype"/>
          <w:sz w:val="20"/>
          <w:szCs w:val="20"/>
        </w:rPr>
        <w:t>that contribute to solving urgent public problems</w:t>
      </w:r>
    </w:p>
    <w:p w14:paraId="4808DC54" w14:textId="5FB154A2" w:rsidR="00282E7D" w:rsidRPr="00DF535C" w:rsidRDefault="00AB282A" w:rsidP="00DF535C">
      <w:pPr>
        <w:ind w:left="720" w:hanging="360"/>
        <w:rPr>
          <w:rFonts w:ascii="Palatino Linotype" w:eastAsia="Times New Roman" w:hAnsi="Palatino Linotype"/>
          <w:sz w:val="20"/>
          <w:szCs w:val="20"/>
        </w:rPr>
      </w:pPr>
      <w:r w:rsidRPr="00EB20C1">
        <w:rPr>
          <w:rFonts w:ascii="Palatino Linotype" w:eastAsia="Times New Roman" w:hAnsi="Palatino Linotype"/>
          <w:b/>
          <w:bCs/>
          <w:sz w:val="20"/>
          <w:szCs w:val="20"/>
        </w:rPr>
        <w:t xml:space="preserve">- </w:t>
      </w:r>
      <w:r w:rsidRPr="00EB20C1">
        <w:rPr>
          <w:rFonts w:ascii="Palatino Linotype" w:eastAsia="Times New Roman" w:hAnsi="Palatino Linotype"/>
          <w:b/>
          <w:bCs/>
          <w:sz w:val="20"/>
          <w:szCs w:val="20"/>
        </w:rPr>
        <w:tab/>
      </w:r>
      <w:r w:rsidRPr="00EB20C1">
        <w:rPr>
          <w:rFonts w:ascii="Palatino Linotype" w:eastAsia="Times New Roman" w:hAnsi="Palatino Linotype"/>
          <w:sz w:val="20"/>
          <w:szCs w:val="20"/>
        </w:rPr>
        <w:t>Promote digital literacy for students and communities, essential to public participation and access to information in a digital societ</w:t>
      </w:r>
      <w:r w:rsidR="00DF535C">
        <w:rPr>
          <w:rFonts w:ascii="Palatino Linotype" w:eastAsia="Times New Roman" w:hAnsi="Palatino Linotype"/>
          <w:sz w:val="20"/>
          <w:szCs w:val="20"/>
        </w:rPr>
        <w:t>y</w:t>
      </w:r>
    </w:p>
    <w:sectPr w:rsidR="00282E7D" w:rsidRPr="00DF53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173A" w14:textId="77777777" w:rsidR="00596C7E" w:rsidRDefault="00596C7E" w:rsidP="00E42FF4">
      <w:pPr>
        <w:spacing w:after="0" w:line="240" w:lineRule="auto"/>
      </w:pPr>
      <w:r>
        <w:separator/>
      </w:r>
    </w:p>
  </w:endnote>
  <w:endnote w:type="continuationSeparator" w:id="0">
    <w:p w14:paraId="55621BFC" w14:textId="77777777" w:rsidR="00596C7E" w:rsidRDefault="00596C7E" w:rsidP="00E4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628332"/>
      <w:docPartObj>
        <w:docPartGallery w:val="Page Numbers (Bottom of Page)"/>
        <w:docPartUnique/>
      </w:docPartObj>
    </w:sdtPr>
    <w:sdtEndPr>
      <w:rPr>
        <w:noProof/>
      </w:rPr>
    </w:sdtEndPr>
    <w:sdtContent>
      <w:p w14:paraId="2684786C" w14:textId="1BD0F9AC" w:rsidR="00E42FF4" w:rsidRDefault="00E42F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5EEBBA" w14:textId="77777777" w:rsidR="00E42FF4" w:rsidRDefault="00E42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3754" w14:textId="77777777" w:rsidR="00596C7E" w:rsidRDefault="00596C7E" w:rsidP="00E42FF4">
      <w:pPr>
        <w:spacing w:after="0" w:line="240" w:lineRule="auto"/>
      </w:pPr>
      <w:r>
        <w:separator/>
      </w:r>
    </w:p>
  </w:footnote>
  <w:footnote w:type="continuationSeparator" w:id="0">
    <w:p w14:paraId="5F87818D" w14:textId="77777777" w:rsidR="00596C7E" w:rsidRDefault="00596C7E" w:rsidP="00E42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A3A4E"/>
    <w:multiLevelType w:val="hybridMultilevel"/>
    <w:tmpl w:val="14A2E512"/>
    <w:lvl w:ilvl="0" w:tplc="073C02E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016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36"/>
    <w:rsid w:val="000206B1"/>
    <w:rsid w:val="00037AD5"/>
    <w:rsid w:val="00076330"/>
    <w:rsid w:val="000820A7"/>
    <w:rsid w:val="000C227A"/>
    <w:rsid w:val="000E440A"/>
    <w:rsid w:val="000E6CC0"/>
    <w:rsid w:val="00104F97"/>
    <w:rsid w:val="00177599"/>
    <w:rsid w:val="001A522E"/>
    <w:rsid w:val="00221A9D"/>
    <w:rsid w:val="00282E7D"/>
    <w:rsid w:val="002847C8"/>
    <w:rsid w:val="002A1974"/>
    <w:rsid w:val="002A7139"/>
    <w:rsid w:val="0030147C"/>
    <w:rsid w:val="003808C0"/>
    <w:rsid w:val="00383E4A"/>
    <w:rsid w:val="00391946"/>
    <w:rsid w:val="003929D0"/>
    <w:rsid w:val="003A4651"/>
    <w:rsid w:val="003D5E33"/>
    <w:rsid w:val="00406366"/>
    <w:rsid w:val="00425D91"/>
    <w:rsid w:val="00427DAD"/>
    <w:rsid w:val="00471069"/>
    <w:rsid w:val="004A280C"/>
    <w:rsid w:val="004A736F"/>
    <w:rsid w:val="00596C7E"/>
    <w:rsid w:val="00596CF9"/>
    <w:rsid w:val="005C3C85"/>
    <w:rsid w:val="005E0D46"/>
    <w:rsid w:val="005F76FF"/>
    <w:rsid w:val="00654534"/>
    <w:rsid w:val="006609A8"/>
    <w:rsid w:val="0066539F"/>
    <w:rsid w:val="00692E10"/>
    <w:rsid w:val="006D17BF"/>
    <w:rsid w:val="00752AD3"/>
    <w:rsid w:val="007C4ADA"/>
    <w:rsid w:val="00812428"/>
    <w:rsid w:val="00825B9B"/>
    <w:rsid w:val="00831C80"/>
    <w:rsid w:val="00862245"/>
    <w:rsid w:val="008F0070"/>
    <w:rsid w:val="00942C43"/>
    <w:rsid w:val="00950A2F"/>
    <w:rsid w:val="009F1266"/>
    <w:rsid w:val="00A069DB"/>
    <w:rsid w:val="00A2389C"/>
    <w:rsid w:val="00A52A6E"/>
    <w:rsid w:val="00A54E37"/>
    <w:rsid w:val="00A778F8"/>
    <w:rsid w:val="00AB282A"/>
    <w:rsid w:val="00AD7228"/>
    <w:rsid w:val="00AE13F2"/>
    <w:rsid w:val="00BD1E68"/>
    <w:rsid w:val="00BE1D93"/>
    <w:rsid w:val="00C1255A"/>
    <w:rsid w:val="00C2197A"/>
    <w:rsid w:val="00C4775C"/>
    <w:rsid w:val="00CC0E6F"/>
    <w:rsid w:val="00CC7648"/>
    <w:rsid w:val="00CF101D"/>
    <w:rsid w:val="00D1332D"/>
    <w:rsid w:val="00D21FFF"/>
    <w:rsid w:val="00D2757F"/>
    <w:rsid w:val="00D450C6"/>
    <w:rsid w:val="00D62736"/>
    <w:rsid w:val="00DF535C"/>
    <w:rsid w:val="00E42FF4"/>
    <w:rsid w:val="00E7518A"/>
    <w:rsid w:val="00EA2223"/>
    <w:rsid w:val="00EB20C1"/>
    <w:rsid w:val="00EC3902"/>
    <w:rsid w:val="00EC40D2"/>
    <w:rsid w:val="00EE65BA"/>
    <w:rsid w:val="00F008F7"/>
    <w:rsid w:val="00F01F61"/>
    <w:rsid w:val="00F55F48"/>
    <w:rsid w:val="00F65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2B55"/>
  <w15:chartTrackingRefBased/>
  <w15:docId w15:val="{BA3AA067-6DF9-4C1D-9381-F1EF0991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736"/>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66539F"/>
    <w:rPr>
      <w:sz w:val="16"/>
      <w:szCs w:val="16"/>
    </w:rPr>
  </w:style>
  <w:style w:type="paragraph" w:styleId="CommentText">
    <w:name w:val="annotation text"/>
    <w:basedOn w:val="Normal"/>
    <w:link w:val="CommentTextChar"/>
    <w:uiPriority w:val="99"/>
    <w:semiHidden/>
    <w:unhideWhenUsed/>
    <w:rsid w:val="0066539F"/>
    <w:pPr>
      <w:spacing w:line="240" w:lineRule="auto"/>
    </w:pPr>
    <w:rPr>
      <w:sz w:val="20"/>
      <w:szCs w:val="20"/>
    </w:rPr>
  </w:style>
  <w:style w:type="character" w:customStyle="1" w:styleId="CommentTextChar">
    <w:name w:val="Comment Text Char"/>
    <w:basedOn w:val="DefaultParagraphFont"/>
    <w:link w:val="CommentText"/>
    <w:uiPriority w:val="99"/>
    <w:semiHidden/>
    <w:rsid w:val="0066539F"/>
    <w:rPr>
      <w:sz w:val="20"/>
      <w:szCs w:val="20"/>
    </w:rPr>
  </w:style>
  <w:style w:type="paragraph" w:styleId="CommentSubject">
    <w:name w:val="annotation subject"/>
    <w:basedOn w:val="CommentText"/>
    <w:next w:val="CommentText"/>
    <w:link w:val="CommentSubjectChar"/>
    <w:uiPriority w:val="99"/>
    <w:semiHidden/>
    <w:unhideWhenUsed/>
    <w:rsid w:val="0066539F"/>
    <w:rPr>
      <w:b/>
      <w:bCs/>
    </w:rPr>
  </w:style>
  <w:style w:type="character" w:customStyle="1" w:styleId="CommentSubjectChar">
    <w:name w:val="Comment Subject Char"/>
    <w:basedOn w:val="CommentTextChar"/>
    <w:link w:val="CommentSubject"/>
    <w:uiPriority w:val="99"/>
    <w:semiHidden/>
    <w:rsid w:val="0066539F"/>
    <w:rPr>
      <w:b/>
      <w:bCs/>
      <w:sz w:val="20"/>
      <w:szCs w:val="20"/>
    </w:rPr>
  </w:style>
  <w:style w:type="character" w:styleId="Hyperlink">
    <w:name w:val="Hyperlink"/>
    <w:basedOn w:val="DefaultParagraphFont"/>
    <w:uiPriority w:val="99"/>
    <w:unhideWhenUsed/>
    <w:rsid w:val="00825B9B"/>
    <w:rPr>
      <w:color w:val="0563C1" w:themeColor="hyperlink"/>
      <w:u w:val="single"/>
    </w:rPr>
  </w:style>
  <w:style w:type="character" w:styleId="UnresolvedMention">
    <w:name w:val="Unresolved Mention"/>
    <w:basedOn w:val="DefaultParagraphFont"/>
    <w:uiPriority w:val="99"/>
    <w:semiHidden/>
    <w:unhideWhenUsed/>
    <w:rsid w:val="00825B9B"/>
    <w:rPr>
      <w:color w:val="605E5C"/>
      <w:shd w:val="clear" w:color="auto" w:fill="E1DFDD"/>
    </w:rPr>
  </w:style>
  <w:style w:type="paragraph" w:styleId="Header">
    <w:name w:val="header"/>
    <w:basedOn w:val="Normal"/>
    <w:link w:val="HeaderChar"/>
    <w:uiPriority w:val="99"/>
    <w:unhideWhenUsed/>
    <w:rsid w:val="00E42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FF4"/>
  </w:style>
  <w:style w:type="paragraph" w:styleId="Footer">
    <w:name w:val="footer"/>
    <w:basedOn w:val="Normal"/>
    <w:link w:val="FooterChar"/>
    <w:uiPriority w:val="99"/>
    <w:unhideWhenUsed/>
    <w:rsid w:val="00E42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89320">
      <w:bodyDiv w:val="1"/>
      <w:marLeft w:val="0"/>
      <w:marRight w:val="0"/>
      <w:marTop w:val="0"/>
      <w:marBottom w:val="0"/>
      <w:divBdr>
        <w:top w:val="none" w:sz="0" w:space="0" w:color="auto"/>
        <w:left w:val="none" w:sz="0" w:space="0" w:color="auto"/>
        <w:bottom w:val="none" w:sz="0" w:space="0" w:color="auto"/>
        <w:right w:val="none" w:sz="0" w:space="0" w:color="auto"/>
      </w:divBdr>
    </w:div>
    <w:div w:id="25043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1D544-8CC8-41D2-8711-3CE27990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Schaub</dc:creator>
  <cp:keywords/>
  <dc:description/>
  <cp:lastModifiedBy>Mark Schaub</cp:lastModifiedBy>
  <cp:revision>7</cp:revision>
  <cp:lastPrinted>2025-08-08T14:50:00Z</cp:lastPrinted>
  <dcterms:created xsi:type="dcterms:W3CDTF">2025-12-01T16:35:00Z</dcterms:created>
  <dcterms:modified xsi:type="dcterms:W3CDTF">2025-12-03T14:57:00Z</dcterms:modified>
</cp:coreProperties>
</file>