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3084" w14:textId="77777777" w:rsidR="00576CE7" w:rsidRDefault="00C04FB6" w:rsidP="00B32C8F">
      <w:pPr>
        <w:spacing w:after="2" w:line="259" w:lineRule="auto"/>
        <w:ind w:left="0" w:firstLine="0"/>
        <w:jc w:val="right"/>
        <w:sectPr w:rsidR="00576CE7">
          <w:pgSz w:w="12240" w:h="15840"/>
          <w:pgMar w:top="804" w:right="9760" w:bottom="1888" w:left="720" w:header="720" w:footer="720" w:gutter="0"/>
          <w:cols w:space="720"/>
        </w:sectPr>
      </w:pPr>
      <w:r>
        <w:rPr>
          <w:noProof/>
        </w:rPr>
        <w:drawing>
          <wp:inline distT="0" distB="0" distL="0" distR="0" wp14:anchorId="1A24ABDA" wp14:editId="0BE1846B">
            <wp:extent cx="888365" cy="8642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88365" cy="864235"/>
                    </a:xfrm>
                    <a:prstGeom prst="rect">
                      <a:avLst/>
                    </a:prstGeom>
                  </pic:spPr>
                </pic:pic>
              </a:graphicData>
            </a:graphic>
          </wp:inline>
        </w:drawing>
      </w:r>
    </w:p>
    <w:p w14:paraId="1CA50967" w14:textId="77777777" w:rsidR="00576CE7" w:rsidRPr="00B32C8F" w:rsidRDefault="00C04FB6" w:rsidP="00B32C8F">
      <w:pPr>
        <w:pStyle w:val="Heading1"/>
        <w:rPr>
          <w:sz w:val="44"/>
          <w:szCs w:val="44"/>
        </w:rPr>
      </w:pPr>
      <w:r w:rsidRPr="00B32C8F">
        <w:rPr>
          <w:sz w:val="44"/>
          <w:szCs w:val="44"/>
        </w:rPr>
        <w:t xml:space="preserve">Grand Valley State University  </w:t>
      </w:r>
    </w:p>
    <w:p w14:paraId="026678E8" w14:textId="77777777" w:rsidR="00576CE7" w:rsidRDefault="00C04FB6">
      <w:pPr>
        <w:spacing w:after="0" w:line="259" w:lineRule="auto"/>
        <w:ind w:left="1" w:firstLine="0"/>
        <w:jc w:val="center"/>
      </w:pPr>
      <w:r>
        <w:rPr>
          <w:b/>
          <w:sz w:val="28"/>
        </w:rPr>
        <w:t xml:space="preserve">Department of Movement Science </w:t>
      </w:r>
    </w:p>
    <w:p w14:paraId="30391082" w14:textId="15C6B62D" w:rsidR="00576CE7" w:rsidRDefault="00576CE7">
      <w:pPr>
        <w:spacing w:after="0" w:line="259" w:lineRule="auto"/>
        <w:ind w:left="0" w:right="4" w:firstLine="0"/>
        <w:jc w:val="center"/>
      </w:pPr>
    </w:p>
    <w:p w14:paraId="183B15DC" w14:textId="77777777" w:rsidR="00051C18" w:rsidRDefault="00051C18">
      <w:pPr>
        <w:spacing w:after="0" w:line="259" w:lineRule="auto"/>
        <w:ind w:left="0" w:right="4" w:firstLine="0"/>
        <w:jc w:val="center"/>
      </w:pPr>
    </w:p>
    <w:p w14:paraId="2DC2601B" w14:textId="77777777" w:rsidR="00576CE7" w:rsidRDefault="00576CE7">
      <w:pPr>
        <w:sectPr w:rsidR="00576CE7">
          <w:type w:val="continuous"/>
          <w:pgSz w:w="12240" w:h="15840"/>
          <w:pgMar w:top="1951" w:right="1744" w:bottom="1888" w:left="3704" w:header="720" w:footer="720" w:gutter="0"/>
          <w:cols w:space="720"/>
        </w:sectPr>
      </w:pPr>
    </w:p>
    <w:p w14:paraId="5FB53305" w14:textId="542A2E99" w:rsidR="00D279DD" w:rsidRDefault="00D279DD" w:rsidP="00D279DD">
      <w:pPr>
        <w:spacing w:after="0" w:line="240" w:lineRule="auto"/>
        <w:ind w:left="0" w:firstLine="0"/>
        <w:jc w:val="center"/>
        <w:rPr>
          <w:rFonts w:ascii="Arial" w:hAnsi="Arial" w:cs="Arial"/>
          <w:b/>
          <w:bCs/>
          <w:sz w:val="22"/>
        </w:rPr>
      </w:pPr>
      <w:r w:rsidRPr="00CD0790">
        <w:rPr>
          <w:rFonts w:ascii="Arial" w:hAnsi="Arial" w:cs="Arial"/>
          <w:b/>
          <w:bCs/>
          <w:sz w:val="22"/>
        </w:rPr>
        <w:t>School Health Education Minor</w:t>
      </w:r>
    </w:p>
    <w:p w14:paraId="714A8B94" w14:textId="77777777" w:rsidR="00D279DD" w:rsidRPr="00CD0790" w:rsidRDefault="00D279DD" w:rsidP="00D279DD">
      <w:pPr>
        <w:spacing w:after="0" w:line="240" w:lineRule="auto"/>
        <w:ind w:left="0" w:firstLine="0"/>
        <w:jc w:val="center"/>
        <w:rPr>
          <w:b/>
          <w:bCs/>
          <w:color w:val="auto"/>
          <w:szCs w:val="24"/>
        </w:rPr>
      </w:pPr>
    </w:p>
    <w:p w14:paraId="45732A19" w14:textId="77777777" w:rsidR="00D279DD" w:rsidRPr="00CD0790" w:rsidRDefault="00D279DD" w:rsidP="00D279DD">
      <w:pPr>
        <w:spacing w:after="0" w:line="240" w:lineRule="auto"/>
        <w:ind w:left="0" w:firstLine="0"/>
        <w:rPr>
          <w:color w:val="auto"/>
          <w:szCs w:val="24"/>
        </w:rPr>
      </w:pPr>
      <w:r w:rsidRPr="00CD0790">
        <w:rPr>
          <w:rFonts w:ascii="Arial" w:hAnsi="Arial" w:cs="Arial"/>
          <w:sz w:val="22"/>
        </w:rPr>
        <w:t>This 24-credit hour minor is approved by the State of Michigan for secondary education majors. This minor prepares School Health Education candidates to teach Health Education in grades 6–12. Coursework must be completed with a minimum GPA of 2.7 to be eligible for the minor. </w:t>
      </w:r>
    </w:p>
    <w:p w14:paraId="6E22CE68" w14:textId="77777777" w:rsidR="00D279DD" w:rsidRPr="00CD0790" w:rsidRDefault="00D279DD" w:rsidP="00D279DD">
      <w:pPr>
        <w:spacing w:after="0" w:line="240" w:lineRule="auto"/>
        <w:ind w:left="0" w:firstLine="0"/>
        <w:rPr>
          <w:color w:val="auto"/>
          <w:szCs w:val="24"/>
        </w:rPr>
      </w:pPr>
    </w:p>
    <w:p w14:paraId="48555701" w14:textId="77777777" w:rsidR="00D279DD" w:rsidRPr="00CD0790" w:rsidRDefault="00D279DD" w:rsidP="00D279DD">
      <w:pPr>
        <w:spacing w:after="0" w:line="240" w:lineRule="auto"/>
        <w:ind w:left="0" w:firstLine="0"/>
        <w:rPr>
          <w:color w:val="auto"/>
          <w:szCs w:val="24"/>
        </w:rPr>
      </w:pPr>
      <w:r w:rsidRPr="00CD0790">
        <w:rPr>
          <w:rFonts w:ascii="Arial" w:hAnsi="Arial" w:cs="Arial"/>
          <w:sz w:val="22"/>
        </w:rPr>
        <w:t>Complete all of the following: </w:t>
      </w:r>
    </w:p>
    <w:p w14:paraId="0CF79882" w14:textId="77777777" w:rsidR="00D279DD" w:rsidRPr="00CD0790" w:rsidRDefault="00D279DD" w:rsidP="00D279DD">
      <w:pPr>
        <w:spacing w:after="0" w:line="240" w:lineRule="auto"/>
        <w:ind w:left="0" w:firstLine="0"/>
        <w:rPr>
          <w:color w:val="auto"/>
          <w:szCs w:val="24"/>
        </w:rPr>
      </w:pPr>
    </w:p>
    <w:p w14:paraId="11A27039" w14:textId="77777777"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________  BMS 105 – Basic Nutrition (3 cr.)</w:t>
      </w:r>
    </w:p>
    <w:p w14:paraId="1FB7E8A4" w14:textId="2F3F4D7A"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 xml:space="preserve">________ </w:t>
      </w:r>
      <w:r>
        <w:rPr>
          <w:rFonts w:ascii="Arial" w:hAnsi="Arial" w:cs="Arial"/>
          <w:sz w:val="22"/>
        </w:rPr>
        <w:t xml:space="preserve"> </w:t>
      </w:r>
      <w:r w:rsidRPr="00CD0790">
        <w:rPr>
          <w:rFonts w:ascii="Arial" w:hAnsi="Arial" w:cs="Arial"/>
          <w:sz w:val="22"/>
        </w:rPr>
        <w:t>BMS 202 – Anatomy and Physiology (4 cr.)</w:t>
      </w:r>
    </w:p>
    <w:p w14:paraId="6D649C50" w14:textId="2A8C031C"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 xml:space="preserve">________ </w:t>
      </w:r>
      <w:r>
        <w:rPr>
          <w:rFonts w:ascii="Arial" w:hAnsi="Arial" w:cs="Arial"/>
          <w:sz w:val="22"/>
        </w:rPr>
        <w:t xml:space="preserve"> </w:t>
      </w:r>
      <w:r w:rsidRPr="00CD0790">
        <w:rPr>
          <w:rFonts w:ascii="Arial" w:hAnsi="Arial" w:cs="Arial"/>
          <w:sz w:val="22"/>
        </w:rPr>
        <w:t>BMS 222 – Introduction to Public Health (3 cr.) OR BMS 223 – Public Health Concepts (3 cr.) </w:t>
      </w:r>
    </w:p>
    <w:p w14:paraId="47CDA6DE" w14:textId="58600F14"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 xml:space="preserve">________ </w:t>
      </w:r>
      <w:r>
        <w:rPr>
          <w:rFonts w:ascii="Arial" w:hAnsi="Arial" w:cs="Arial"/>
          <w:sz w:val="22"/>
        </w:rPr>
        <w:t xml:space="preserve"> </w:t>
      </w:r>
      <w:r w:rsidRPr="00CD0790">
        <w:rPr>
          <w:rFonts w:ascii="Arial" w:hAnsi="Arial" w:cs="Arial"/>
          <w:sz w:val="22"/>
        </w:rPr>
        <w:t>PED 207 – Personal Health and Wellness (3 cr.)</w:t>
      </w:r>
    </w:p>
    <w:p w14:paraId="600FBC5A" w14:textId="4C3C3A50" w:rsidR="00D279DD" w:rsidRDefault="00D279DD" w:rsidP="00D279DD">
      <w:pPr>
        <w:spacing w:after="0" w:line="240" w:lineRule="auto"/>
        <w:ind w:left="0" w:firstLine="0"/>
        <w:jc w:val="both"/>
        <w:rPr>
          <w:color w:val="auto"/>
          <w:szCs w:val="24"/>
        </w:rPr>
      </w:pPr>
      <w:r w:rsidRPr="00CD0790">
        <w:rPr>
          <w:rFonts w:ascii="Arial" w:hAnsi="Arial" w:cs="Arial"/>
          <w:sz w:val="22"/>
        </w:rPr>
        <w:t>________</w:t>
      </w:r>
      <w:r>
        <w:rPr>
          <w:rFonts w:ascii="Arial" w:hAnsi="Arial" w:cs="Arial"/>
          <w:sz w:val="22"/>
        </w:rPr>
        <w:t xml:space="preserve">  </w:t>
      </w:r>
      <w:r w:rsidRPr="00CD0790">
        <w:rPr>
          <w:rFonts w:ascii="Arial" w:hAnsi="Arial" w:cs="Arial"/>
          <w:sz w:val="22"/>
        </w:rPr>
        <w:t>HPE 270 – Methods of Teaching Skills-Based Health Education  (3 cr.) Fall only</w:t>
      </w:r>
    </w:p>
    <w:p w14:paraId="61374AA2" w14:textId="3D95ECCC"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 xml:space="preserve">________ </w:t>
      </w:r>
      <w:r>
        <w:rPr>
          <w:rFonts w:ascii="Arial" w:hAnsi="Arial" w:cs="Arial"/>
          <w:sz w:val="22"/>
        </w:rPr>
        <w:t xml:space="preserve"> </w:t>
      </w:r>
      <w:r w:rsidRPr="00CD0790">
        <w:rPr>
          <w:rFonts w:ascii="Arial" w:hAnsi="Arial" w:cs="Arial"/>
          <w:sz w:val="22"/>
        </w:rPr>
        <w:t>HPE 301 –  Methods of Teaching Secondary Health Education (3 cr.) Winter only </w:t>
      </w:r>
    </w:p>
    <w:p w14:paraId="21370D55" w14:textId="20F5CDFF"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________</w:t>
      </w:r>
      <w:r>
        <w:rPr>
          <w:rFonts w:ascii="Arial" w:hAnsi="Arial" w:cs="Arial"/>
          <w:sz w:val="22"/>
        </w:rPr>
        <w:t xml:space="preserve">  </w:t>
      </w:r>
      <w:r w:rsidRPr="00CD0790">
        <w:rPr>
          <w:rFonts w:ascii="Arial" w:hAnsi="Arial" w:cs="Arial"/>
          <w:sz w:val="22"/>
        </w:rPr>
        <w:t>SOC 252 – Sociology of Drug Use and Abuse (3 cr.)</w:t>
      </w:r>
    </w:p>
    <w:p w14:paraId="58073F9B" w14:textId="4978237A" w:rsidR="00D279DD" w:rsidRPr="00CD0790" w:rsidRDefault="00D279DD" w:rsidP="00D279DD">
      <w:pPr>
        <w:spacing w:after="0" w:line="240" w:lineRule="auto"/>
        <w:ind w:left="0" w:firstLine="0"/>
        <w:jc w:val="both"/>
        <w:rPr>
          <w:color w:val="auto"/>
          <w:szCs w:val="24"/>
        </w:rPr>
      </w:pPr>
      <w:r w:rsidRPr="00CD0790">
        <w:rPr>
          <w:rFonts w:ascii="Arial" w:hAnsi="Arial" w:cs="Arial"/>
          <w:sz w:val="22"/>
        </w:rPr>
        <w:t xml:space="preserve">________ </w:t>
      </w:r>
      <w:r>
        <w:rPr>
          <w:rFonts w:ascii="Arial" w:hAnsi="Arial" w:cs="Arial"/>
          <w:sz w:val="22"/>
        </w:rPr>
        <w:t xml:space="preserve"> </w:t>
      </w:r>
      <w:r w:rsidRPr="00CD0790">
        <w:rPr>
          <w:rFonts w:ascii="Arial" w:hAnsi="Arial" w:cs="Arial"/>
          <w:sz w:val="22"/>
        </w:rPr>
        <w:t xml:space="preserve">HPE 272 –  Methods of Teaching Reproductive Health (2 </w:t>
      </w:r>
      <w:proofErr w:type="spellStart"/>
      <w:r w:rsidRPr="00CD0790">
        <w:rPr>
          <w:rFonts w:ascii="Arial" w:hAnsi="Arial" w:cs="Arial"/>
          <w:sz w:val="22"/>
        </w:rPr>
        <w:t>cr</w:t>
      </w:r>
      <w:proofErr w:type="spellEnd"/>
      <w:r w:rsidRPr="00CD0790">
        <w:rPr>
          <w:rFonts w:ascii="Arial" w:hAnsi="Arial" w:cs="Arial"/>
          <w:sz w:val="22"/>
        </w:rPr>
        <w:t>) online</w:t>
      </w:r>
    </w:p>
    <w:p w14:paraId="29201353" w14:textId="77777777" w:rsidR="00D279DD" w:rsidRPr="006E5A44" w:rsidRDefault="00D279DD" w:rsidP="00D279DD">
      <w:pPr>
        <w:ind w:left="0" w:firstLine="0"/>
        <w:jc w:val="both"/>
        <w:rPr>
          <w:szCs w:val="24"/>
        </w:rPr>
      </w:pPr>
      <w:r w:rsidRPr="006E5A44">
        <w:rPr>
          <w:szCs w:val="24"/>
        </w:rPr>
        <w:t xml:space="preserve"> </w:t>
      </w:r>
    </w:p>
    <w:p w14:paraId="0753F00C" w14:textId="77777777" w:rsidR="00CD0790" w:rsidRPr="00CD0790" w:rsidRDefault="00CD0790" w:rsidP="00CD0790">
      <w:pPr>
        <w:spacing w:after="240" w:line="240" w:lineRule="auto"/>
        <w:ind w:left="0" w:firstLine="0"/>
        <w:rPr>
          <w:color w:val="auto"/>
          <w:szCs w:val="24"/>
        </w:rPr>
      </w:pPr>
    </w:p>
    <w:sectPr w:rsidR="00CD0790" w:rsidRPr="00CD0790">
      <w:type w:val="continuous"/>
      <w:pgSz w:w="12240" w:h="15840"/>
      <w:pgMar w:top="1951" w:right="742" w:bottom="18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E7"/>
    <w:rsid w:val="000461AA"/>
    <w:rsid w:val="00051C18"/>
    <w:rsid w:val="001B49CB"/>
    <w:rsid w:val="002E6485"/>
    <w:rsid w:val="004167F3"/>
    <w:rsid w:val="00576CE7"/>
    <w:rsid w:val="006E5A44"/>
    <w:rsid w:val="00B32C8F"/>
    <w:rsid w:val="00C04FB6"/>
    <w:rsid w:val="00CD0790"/>
    <w:rsid w:val="00D279DD"/>
    <w:rsid w:val="00EF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A42B"/>
  <w15:docId w15:val="{9413CAB0-F53D-4017-AD16-DA272A8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52"/>
    </w:rPr>
  </w:style>
  <w:style w:type="paragraph" w:styleId="NormalWeb">
    <w:name w:val="Normal (Web)"/>
    <w:basedOn w:val="Normal"/>
    <w:uiPriority w:val="99"/>
    <w:semiHidden/>
    <w:unhideWhenUsed/>
    <w:rsid w:val="000461AA"/>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9365">
      <w:bodyDiv w:val="1"/>
      <w:marLeft w:val="0"/>
      <w:marRight w:val="0"/>
      <w:marTop w:val="0"/>
      <w:marBottom w:val="0"/>
      <w:divBdr>
        <w:top w:val="none" w:sz="0" w:space="0" w:color="auto"/>
        <w:left w:val="none" w:sz="0" w:space="0" w:color="auto"/>
        <w:bottom w:val="none" w:sz="0" w:space="0" w:color="auto"/>
        <w:right w:val="none" w:sz="0" w:space="0" w:color="auto"/>
      </w:divBdr>
    </w:div>
    <w:div w:id="835994423">
      <w:bodyDiv w:val="1"/>
      <w:marLeft w:val="0"/>
      <w:marRight w:val="0"/>
      <w:marTop w:val="0"/>
      <w:marBottom w:val="0"/>
      <w:divBdr>
        <w:top w:val="none" w:sz="0" w:space="0" w:color="auto"/>
        <w:left w:val="none" w:sz="0" w:space="0" w:color="auto"/>
        <w:bottom w:val="none" w:sz="0" w:space="0" w:color="auto"/>
        <w:right w:val="none" w:sz="0" w:space="0" w:color="auto"/>
      </w:divBdr>
    </w:div>
    <w:div w:id="193089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Curless</dc:creator>
  <cp:keywords/>
  <cp:lastModifiedBy>I Johnson</cp:lastModifiedBy>
  <cp:revision>2</cp:revision>
  <dcterms:created xsi:type="dcterms:W3CDTF">2020-08-11T18:57:00Z</dcterms:created>
  <dcterms:modified xsi:type="dcterms:W3CDTF">2020-08-11T18:57:00Z</dcterms:modified>
</cp:coreProperties>
</file>