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73A8" w14:textId="77777777" w:rsidR="00745D84" w:rsidRPr="00DB406A" w:rsidRDefault="00E829A9" w:rsidP="00745D8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DB406A">
        <w:rPr>
          <w:rFonts w:ascii="Arial" w:eastAsia="Times New Roman" w:hAnsi="Arial" w:cs="Arial"/>
          <w:b/>
          <w:bCs/>
        </w:rPr>
        <w:t>Introduction</w:t>
      </w:r>
    </w:p>
    <w:p w14:paraId="629ACF36" w14:textId="167F90CA" w:rsidR="00961F36" w:rsidRPr="00DB406A" w:rsidRDefault="00961F36" w:rsidP="00961F3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</w:rPr>
      </w:pPr>
      <w:r w:rsidRPr="00DB406A">
        <w:rPr>
          <w:rFonts w:ascii="Arial" w:eastAsia="Times New Roman" w:hAnsi="Arial" w:cs="Arial"/>
        </w:rPr>
        <w:t xml:space="preserve">In this time of uncertainty caused by the impact of COVID-19, the </w:t>
      </w:r>
      <w:r w:rsidR="00C16B6A">
        <w:rPr>
          <w:rFonts w:ascii="Arial" w:eastAsia="Times New Roman" w:hAnsi="Arial" w:cs="Arial"/>
        </w:rPr>
        <w:t>U</w:t>
      </w:r>
      <w:r w:rsidR="00497A80">
        <w:rPr>
          <w:rFonts w:ascii="Arial" w:eastAsia="Times New Roman" w:hAnsi="Arial" w:cs="Arial"/>
        </w:rPr>
        <w:t>niversity took</w:t>
      </w:r>
      <w:r w:rsidRPr="00DB406A">
        <w:rPr>
          <w:rFonts w:ascii="Arial" w:eastAsia="Times New Roman" w:hAnsi="Arial" w:cs="Arial"/>
        </w:rPr>
        <w:t xml:space="preserve"> steps to </w:t>
      </w:r>
      <w:r>
        <w:rPr>
          <w:rFonts w:ascii="Arial" w:eastAsia="Times New Roman" w:hAnsi="Arial" w:cs="Arial"/>
        </w:rPr>
        <w:t xml:space="preserve">ensure </w:t>
      </w:r>
      <w:r w:rsidR="00497A80">
        <w:rPr>
          <w:rFonts w:ascii="Arial" w:eastAsia="Times New Roman" w:hAnsi="Arial" w:cs="Arial"/>
        </w:rPr>
        <w:t xml:space="preserve">that </w:t>
      </w:r>
      <w:r>
        <w:rPr>
          <w:rFonts w:ascii="Arial" w:eastAsia="Times New Roman" w:hAnsi="Arial" w:cs="Arial"/>
        </w:rPr>
        <w:t xml:space="preserve">limited </w:t>
      </w:r>
      <w:r w:rsidR="00497A80">
        <w:rPr>
          <w:rFonts w:ascii="Arial" w:eastAsia="Times New Roman" w:hAnsi="Arial" w:cs="Arial"/>
        </w:rPr>
        <w:t xml:space="preserve">internal </w:t>
      </w:r>
      <w:r>
        <w:rPr>
          <w:rFonts w:ascii="Arial" w:eastAsia="Times New Roman" w:hAnsi="Arial" w:cs="Arial"/>
        </w:rPr>
        <w:t xml:space="preserve">funds are allocated consistently and </w:t>
      </w:r>
      <w:r w:rsidR="00497A80"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</w:rPr>
        <w:t>transparency.</w:t>
      </w:r>
      <w:r w:rsidRPr="00DB406A">
        <w:rPr>
          <w:rFonts w:ascii="Arial" w:eastAsia="Times New Roman" w:hAnsi="Arial" w:cs="Arial"/>
        </w:rPr>
        <w:t xml:space="preserve"> </w:t>
      </w:r>
      <w:r w:rsidR="00497A80">
        <w:rPr>
          <w:rFonts w:ascii="Arial" w:eastAsia="Times New Roman" w:hAnsi="Arial" w:cs="Arial"/>
        </w:rPr>
        <w:t>One of these steps is moving the</w:t>
      </w:r>
      <w:r w:rsidRPr="00DB406A">
        <w:rPr>
          <w:rFonts w:ascii="Arial" w:eastAsia="Times New Roman" w:hAnsi="Arial" w:cs="Arial"/>
        </w:rPr>
        <w:t xml:space="preserve"> internal funding for faculty professional development </w:t>
      </w:r>
      <w:r w:rsidR="00497A80">
        <w:rPr>
          <w:rFonts w:ascii="Arial" w:eastAsia="Times New Roman" w:hAnsi="Arial" w:cs="Arial"/>
        </w:rPr>
        <w:t>from the Unit to CSCE for allocation</w:t>
      </w:r>
      <w:r>
        <w:rPr>
          <w:rFonts w:ascii="Arial" w:eastAsia="Times New Roman" w:hAnsi="Arial" w:cs="Arial"/>
        </w:rPr>
        <w:t>.</w:t>
      </w:r>
      <w:r w:rsidRPr="00DB406A">
        <w:rPr>
          <w:rFonts w:ascii="Arial" w:eastAsia="Times New Roman" w:hAnsi="Arial" w:cs="Arial"/>
        </w:rPr>
        <w:t xml:space="preserve"> </w:t>
      </w:r>
    </w:p>
    <w:p w14:paraId="680C426D" w14:textId="441FAF17" w:rsidR="00961F36" w:rsidRPr="00DB406A" w:rsidRDefault="00497A80" w:rsidP="00961F36">
      <w:pPr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961F36" w:rsidRPr="00DB406A">
        <w:rPr>
          <w:rFonts w:ascii="Arial" w:eastAsia="Times New Roman" w:hAnsi="Arial" w:cs="Arial"/>
        </w:rPr>
        <w:t xml:space="preserve">he FY 20-21 Faculty Professional Development Fund </w:t>
      </w:r>
      <w:r w:rsidR="00961F36">
        <w:rPr>
          <w:rFonts w:ascii="Arial" w:eastAsia="Times New Roman" w:hAnsi="Arial" w:cs="Arial"/>
        </w:rPr>
        <w:t xml:space="preserve">was created for faculty to </w:t>
      </w:r>
      <w:r w:rsidRPr="00DB406A">
        <w:rPr>
          <w:rFonts w:ascii="Arial" w:eastAsia="Times New Roman" w:hAnsi="Arial" w:cs="Arial"/>
        </w:rPr>
        <w:t>re</w:t>
      </w:r>
      <w:r>
        <w:rPr>
          <w:rFonts w:ascii="Arial" w:eastAsia="Times New Roman" w:hAnsi="Arial" w:cs="Arial"/>
        </w:rPr>
        <w:t>quest</w:t>
      </w:r>
      <w:r w:rsidRPr="00DB406A">
        <w:rPr>
          <w:rFonts w:ascii="Arial" w:eastAsia="Times New Roman" w:hAnsi="Arial" w:cs="Arial"/>
        </w:rPr>
        <w:t xml:space="preserve"> </w:t>
      </w:r>
      <w:r w:rsidR="00961F36" w:rsidRPr="00DB406A">
        <w:rPr>
          <w:rFonts w:ascii="Arial" w:eastAsia="Times New Roman" w:hAnsi="Arial" w:cs="Arial"/>
        </w:rPr>
        <w:t xml:space="preserve">financial support to </w:t>
      </w:r>
      <w:r>
        <w:rPr>
          <w:rFonts w:ascii="Arial" w:eastAsia="Times New Roman" w:hAnsi="Arial" w:cs="Arial"/>
        </w:rPr>
        <w:t>deepen their</w:t>
      </w:r>
      <w:r w:rsidR="00961F36" w:rsidRPr="00DB406A">
        <w:rPr>
          <w:rFonts w:ascii="Arial" w:eastAsia="Times New Roman" w:hAnsi="Arial" w:cs="Arial"/>
        </w:rPr>
        <w:t xml:space="preserve"> skills</w:t>
      </w:r>
      <w:r>
        <w:rPr>
          <w:rFonts w:ascii="Arial" w:eastAsia="Times New Roman" w:hAnsi="Arial" w:cs="Arial"/>
        </w:rPr>
        <w:t xml:space="preserve"> and/or facilitate growth</w:t>
      </w:r>
      <w:r w:rsidR="00961F36" w:rsidRPr="00DB406A">
        <w:rPr>
          <w:rFonts w:ascii="Arial" w:eastAsia="Times New Roman" w:hAnsi="Arial" w:cs="Arial"/>
        </w:rPr>
        <w:t xml:space="preserve"> in the following areas:</w:t>
      </w:r>
    </w:p>
    <w:p w14:paraId="395D3A72" w14:textId="77777777" w:rsidR="00961F36" w:rsidRPr="00DB406A" w:rsidRDefault="00961F36" w:rsidP="00961F36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B406A">
        <w:rPr>
          <w:rFonts w:ascii="Arial" w:eastAsia="Times New Roman" w:hAnsi="Arial" w:cs="Arial"/>
        </w:rPr>
        <w:t>Teaching </w:t>
      </w:r>
    </w:p>
    <w:p w14:paraId="48980201" w14:textId="27B78F01" w:rsidR="00961F36" w:rsidRPr="00DB406A" w:rsidRDefault="00961F36" w:rsidP="00961F36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B406A">
        <w:rPr>
          <w:rFonts w:ascii="Arial" w:eastAsia="Times New Roman" w:hAnsi="Arial" w:cs="Arial"/>
        </w:rPr>
        <w:t xml:space="preserve">Instructional </w:t>
      </w:r>
      <w:r w:rsidR="00497A80" w:rsidRPr="00DB406A">
        <w:rPr>
          <w:rFonts w:ascii="Arial" w:eastAsia="Times New Roman" w:hAnsi="Arial" w:cs="Arial"/>
        </w:rPr>
        <w:t>design and curriculum development </w:t>
      </w:r>
    </w:p>
    <w:p w14:paraId="0A91AAFF" w14:textId="044EC69F" w:rsidR="00961F36" w:rsidRPr="00DB406A" w:rsidRDefault="00961F36" w:rsidP="00961F36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B406A">
        <w:rPr>
          <w:rFonts w:ascii="Arial" w:eastAsia="Times New Roman" w:hAnsi="Arial" w:cs="Arial"/>
        </w:rPr>
        <w:t xml:space="preserve">Scholarly and </w:t>
      </w:r>
      <w:r w:rsidR="00497A80">
        <w:rPr>
          <w:rFonts w:ascii="Arial" w:eastAsia="Times New Roman" w:hAnsi="Arial" w:cs="Arial"/>
        </w:rPr>
        <w:t>c</w:t>
      </w:r>
      <w:r w:rsidRPr="00DB406A">
        <w:rPr>
          <w:rFonts w:ascii="Arial" w:eastAsia="Times New Roman" w:hAnsi="Arial" w:cs="Arial"/>
        </w:rPr>
        <w:t xml:space="preserve">reative </w:t>
      </w:r>
      <w:r w:rsidR="00497A80">
        <w:rPr>
          <w:rFonts w:ascii="Arial" w:eastAsia="Times New Roman" w:hAnsi="Arial" w:cs="Arial"/>
        </w:rPr>
        <w:t>a</w:t>
      </w:r>
      <w:r w:rsidRPr="00DB406A">
        <w:rPr>
          <w:rFonts w:ascii="Arial" w:eastAsia="Times New Roman" w:hAnsi="Arial" w:cs="Arial"/>
        </w:rPr>
        <w:t xml:space="preserve">ctivity </w:t>
      </w:r>
    </w:p>
    <w:p w14:paraId="1159A8D2" w14:textId="688DAFA6" w:rsidR="00961F36" w:rsidRPr="00DB406A" w:rsidRDefault="00961F36" w:rsidP="00961F36">
      <w:pPr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B406A">
        <w:rPr>
          <w:rFonts w:ascii="Arial" w:eastAsia="Times New Roman" w:hAnsi="Arial" w:cs="Arial"/>
        </w:rPr>
        <w:t xml:space="preserve">Leadership, </w:t>
      </w:r>
      <w:r w:rsidR="00497A80">
        <w:rPr>
          <w:rFonts w:ascii="Arial" w:eastAsia="Times New Roman" w:hAnsi="Arial" w:cs="Arial"/>
        </w:rPr>
        <w:t>a</w:t>
      </w:r>
      <w:r w:rsidRPr="00DB406A">
        <w:rPr>
          <w:rFonts w:ascii="Arial" w:eastAsia="Times New Roman" w:hAnsi="Arial" w:cs="Arial"/>
        </w:rPr>
        <w:t xml:space="preserve">dministration, and </w:t>
      </w:r>
      <w:r w:rsidR="00497A80">
        <w:rPr>
          <w:rFonts w:ascii="Arial" w:eastAsia="Times New Roman" w:hAnsi="Arial" w:cs="Arial"/>
        </w:rPr>
        <w:t>o</w:t>
      </w:r>
      <w:r w:rsidRPr="00DB406A">
        <w:rPr>
          <w:rFonts w:ascii="Arial" w:eastAsia="Times New Roman" w:hAnsi="Arial" w:cs="Arial"/>
        </w:rPr>
        <w:t xml:space="preserve">rganizational </w:t>
      </w:r>
      <w:r w:rsidR="00497A80">
        <w:rPr>
          <w:rFonts w:ascii="Arial" w:eastAsia="Times New Roman" w:hAnsi="Arial" w:cs="Arial"/>
        </w:rPr>
        <w:t>d</w:t>
      </w:r>
      <w:r w:rsidRPr="00DB406A">
        <w:rPr>
          <w:rFonts w:ascii="Arial" w:eastAsia="Times New Roman" w:hAnsi="Arial" w:cs="Arial"/>
        </w:rPr>
        <w:t>evelopment </w:t>
      </w:r>
    </w:p>
    <w:p w14:paraId="303006B1" w14:textId="77777777" w:rsidR="00745D84" w:rsidRPr="00C30CB7" w:rsidRDefault="00745D84" w:rsidP="00745D84">
      <w:pPr>
        <w:pStyle w:val="Heading2"/>
        <w:spacing w:after="0" w:afterAutospacing="0"/>
        <w:rPr>
          <w:rFonts w:ascii="Arial" w:hAnsi="Arial" w:cs="Arial"/>
          <w:b w:val="0"/>
          <w:sz w:val="22"/>
          <w:szCs w:val="22"/>
        </w:rPr>
      </w:pPr>
    </w:p>
    <w:p w14:paraId="3D7D6F0C" w14:textId="77777777" w:rsidR="00E829A9" w:rsidRPr="00C30CB7" w:rsidRDefault="00E829A9" w:rsidP="00745D84">
      <w:pPr>
        <w:pStyle w:val="Heading2"/>
        <w:spacing w:after="0" w:afterAutospacing="0"/>
        <w:rPr>
          <w:rFonts w:ascii="Arial" w:hAnsi="Arial" w:cs="Arial"/>
          <w:sz w:val="22"/>
          <w:szCs w:val="22"/>
        </w:rPr>
      </w:pPr>
      <w:r w:rsidRPr="00C30CB7">
        <w:rPr>
          <w:rFonts w:ascii="Arial" w:hAnsi="Arial" w:cs="Arial"/>
          <w:sz w:val="22"/>
          <w:szCs w:val="22"/>
        </w:rPr>
        <w:t>Eligibility and Available Funds</w:t>
      </w:r>
    </w:p>
    <w:p w14:paraId="29C5FB8F" w14:textId="77777777" w:rsidR="002C0544" w:rsidRPr="00DB406A" w:rsidRDefault="002C0544" w:rsidP="002C0544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DB406A">
        <w:rPr>
          <w:rFonts w:ascii="Arial" w:hAnsi="Arial" w:cs="Arial"/>
          <w:sz w:val="22"/>
          <w:szCs w:val="22"/>
        </w:rPr>
        <w:t>All tenured and tenure track faculty members in good standing are eligible to receive professional development funds.</w:t>
      </w:r>
    </w:p>
    <w:p w14:paraId="2B5071EB" w14:textId="5B586ADE" w:rsidR="002C0544" w:rsidRPr="00DB406A" w:rsidRDefault="002C0544" w:rsidP="002C0544">
      <w:pPr>
        <w:pStyle w:val="NormalWeb"/>
        <w:spacing w:after="0" w:afterAutospacing="0"/>
        <w:rPr>
          <w:rFonts w:ascii="Arial" w:hAnsi="Arial" w:cs="Arial"/>
          <w:sz w:val="22"/>
          <w:szCs w:val="22"/>
        </w:rPr>
      </w:pPr>
      <w:r w:rsidRPr="00DB406A">
        <w:rPr>
          <w:rFonts w:ascii="Arial" w:hAnsi="Arial" w:cs="Arial"/>
          <w:sz w:val="22"/>
          <w:szCs w:val="22"/>
        </w:rPr>
        <w:t>The University has al</w:t>
      </w:r>
      <w:r w:rsidR="00E41A55">
        <w:rPr>
          <w:rFonts w:ascii="Arial" w:hAnsi="Arial" w:cs="Arial"/>
          <w:sz w:val="22"/>
          <w:szCs w:val="22"/>
        </w:rPr>
        <w:t>located</w:t>
      </w:r>
      <w:bookmarkStart w:id="0" w:name="_GoBack"/>
      <w:bookmarkEnd w:id="0"/>
      <w:r w:rsidRPr="00DB406A">
        <w:rPr>
          <w:rFonts w:ascii="Arial" w:hAnsi="Arial" w:cs="Arial"/>
          <w:sz w:val="22"/>
          <w:szCs w:val="22"/>
        </w:rPr>
        <w:t xml:space="preserve"> $900 per tenure-track faculty member and $450 per tenured faculty in FY21 (July 1</w:t>
      </w:r>
      <w:r w:rsidR="00497A80">
        <w:rPr>
          <w:rFonts w:ascii="Arial" w:hAnsi="Arial" w:cs="Arial"/>
          <w:sz w:val="22"/>
          <w:szCs w:val="22"/>
        </w:rPr>
        <w:t>, 2020</w:t>
      </w:r>
      <w:r w:rsidRPr="00DB406A">
        <w:rPr>
          <w:rFonts w:ascii="Arial" w:hAnsi="Arial" w:cs="Arial"/>
          <w:sz w:val="22"/>
          <w:szCs w:val="22"/>
        </w:rPr>
        <w:t xml:space="preserve"> to June 3</w:t>
      </w:r>
      <w:r w:rsidR="00497A80">
        <w:rPr>
          <w:rFonts w:ascii="Arial" w:hAnsi="Arial" w:cs="Arial"/>
          <w:sz w:val="22"/>
          <w:szCs w:val="22"/>
        </w:rPr>
        <w:t>0, 2021</w:t>
      </w:r>
      <w:r w:rsidRPr="00DB406A">
        <w:rPr>
          <w:rFonts w:ascii="Arial" w:hAnsi="Arial" w:cs="Arial"/>
          <w:sz w:val="22"/>
          <w:szCs w:val="22"/>
        </w:rPr>
        <w:t xml:space="preserve">) to allow faculty to engage in professional development activities.  Professional development expenses incurred in excess of the allotted amount are the responsibility of the faculty member. </w:t>
      </w:r>
      <w:r w:rsidR="00497A80">
        <w:rPr>
          <w:rFonts w:ascii="Arial" w:hAnsi="Arial" w:cs="Arial"/>
          <w:sz w:val="22"/>
          <w:szCs w:val="22"/>
        </w:rPr>
        <w:t>Please note that f</w:t>
      </w:r>
      <w:r w:rsidRPr="00DB406A">
        <w:rPr>
          <w:rFonts w:ascii="Arial" w:hAnsi="Arial" w:cs="Arial"/>
          <w:sz w:val="22"/>
          <w:szCs w:val="22"/>
        </w:rPr>
        <w:t>unds cannot be shared with or assigned to another colleague</w:t>
      </w:r>
      <w:r w:rsidR="00497A80">
        <w:rPr>
          <w:rFonts w:ascii="Arial" w:hAnsi="Arial" w:cs="Arial"/>
          <w:sz w:val="22"/>
          <w:szCs w:val="22"/>
        </w:rPr>
        <w:t>,</w:t>
      </w:r>
      <w:r w:rsidRPr="00DB406A">
        <w:rPr>
          <w:rFonts w:ascii="Arial" w:hAnsi="Arial" w:cs="Arial"/>
          <w:sz w:val="22"/>
          <w:szCs w:val="22"/>
        </w:rPr>
        <w:t xml:space="preserve"> nor can they be carried over to the next fiscal year. Funds are disbursed as reimbursements. However, </w:t>
      </w:r>
      <w:hyperlink r:id="rId6" w:history="1">
        <w:r w:rsidRPr="00DB406A">
          <w:rPr>
            <w:rStyle w:val="Hyperlink"/>
            <w:rFonts w:ascii="Arial" w:hAnsi="Arial" w:cs="Arial"/>
            <w:sz w:val="22"/>
            <w:szCs w:val="22"/>
          </w:rPr>
          <w:t>advances</w:t>
        </w:r>
      </w:hyperlink>
      <w:r w:rsidRPr="00DB406A">
        <w:rPr>
          <w:rFonts w:ascii="Arial" w:hAnsi="Arial" w:cs="Arial"/>
          <w:sz w:val="22"/>
          <w:szCs w:val="22"/>
        </w:rPr>
        <w:t xml:space="preserve"> for anticipated expenses may also be issued</w:t>
      </w:r>
      <w:r w:rsidR="00497A80">
        <w:rPr>
          <w:rFonts w:ascii="Arial" w:hAnsi="Arial" w:cs="Arial"/>
          <w:sz w:val="22"/>
          <w:szCs w:val="22"/>
        </w:rPr>
        <w:t xml:space="preserve"> on a case by case basis</w:t>
      </w:r>
      <w:r w:rsidRPr="00DB406A">
        <w:rPr>
          <w:rFonts w:ascii="Arial" w:hAnsi="Arial" w:cs="Arial"/>
          <w:sz w:val="22"/>
          <w:szCs w:val="22"/>
        </w:rPr>
        <w:t xml:space="preserve">. </w:t>
      </w:r>
    </w:p>
    <w:p w14:paraId="15AB005E" w14:textId="46BBAE73" w:rsidR="002C0544" w:rsidRDefault="002C0544" w:rsidP="002C054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Additional </w:t>
      </w:r>
      <w:r w:rsidR="00497A80">
        <w:rPr>
          <w:rFonts w:ascii="Arial" w:eastAsia="Times New Roman" w:hAnsi="Arial" w:cs="Arial"/>
          <w:bCs/>
        </w:rPr>
        <w:t>grants that support</w:t>
      </w:r>
      <w:r>
        <w:rPr>
          <w:rFonts w:ascii="Arial" w:eastAsia="Times New Roman" w:hAnsi="Arial" w:cs="Arial"/>
          <w:bCs/>
        </w:rPr>
        <w:t xml:space="preserve"> scholarly activity and teaching are available at CSCE and FTLC. </w:t>
      </w:r>
    </w:p>
    <w:p w14:paraId="336B4918" w14:textId="77777777" w:rsidR="002C0544" w:rsidRDefault="002C0544" w:rsidP="002C054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61AC8628" w14:textId="492F4194" w:rsidR="00E829A9" w:rsidRPr="00C30CB7" w:rsidRDefault="00E829A9" w:rsidP="002C054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  <w:r w:rsidRPr="00C30CB7">
        <w:rPr>
          <w:rFonts w:ascii="Arial" w:eastAsia="Times New Roman" w:hAnsi="Arial" w:cs="Arial"/>
          <w:b/>
          <w:bCs/>
        </w:rPr>
        <w:t xml:space="preserve">Use of the </w:t>
      </w:r>
      <w:r w:rsidR="00C64C05" w:rsidRPr="00C30CB7">
        <w:rPr>
          <w:rFonts w:ascii="Arial" w:hAnsi="Arial" w:cs="Arial"/>
          <w:b/>
        </w:rPr>
        <w:t xml:space="preserve">FY 20-21 </w:t>
      </w:r>
      <w:r w:rsidRPr="00C30CB7">
        <w:rPr>
          <w:rFonts w:ascii="Arial" w:eastAsia="Times New Roman" w:hAnsi="Arial" w:cs="Arial"/>
          <w:b/>
          <w:bCs/>
        </w:rPr>
        <w:t>Professional Development Fund</w:t>
      </w:r>
      <w:r w:rsidR="00C64C05" w:rsidRPr="00C30CB7">
        <w:rPr>
          <w:rFonts w:ascii="Arial" w:eastAsia="Times New Roman" w:hAnsi="Arial" w:cs="Arial"/>
          <w:b/>
          <w:bCs/>
        </w:rPr>
        <w:t xml:space="preserve"> </w:t>
      </w:r>
    </w:p>
    <w:p w14:paraId="32A3A9AA" w14:textId="02741181" w:rsidR="00E829A9" w:rsidRPr="00C30CB7" w:rsidRDefault="00E829A9" w:rsidP="00745D84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C30CB7">
        <w:rPr>
          <w:rFonts w:ascii="Arial" w:eastAsia="Times New Roman" w:hAnsi="Arial" w:cs="Arial"/>
        </w:rPr>
        <w:t xml:space="preserve">Funds from the Professional Development Fund </w:t>
      </w:r>
      <w:r w:rsidR="00C64C05" w:rsidRPr="00C30CB7">
        <w:rPr>
          <w:rFonts w:ascii="Arial" w:eastAsia="Times New Roman" w:hAnsi="Arial" w:cs="Arial"/>
          <w:bCs/>
        </w:rPr>
        <w:t>for Tenure</w:t>
      </w:r>
      <w:r w:rsidR="00670B29" w:rsidRPr="00C30CB7">
        <w:rPr>
          <w:rFonts w:ascii="Arial" w:eastAsia="Times New Roman" w:hAnsi="Arial" w:cs="Arial"/>
          <w:bCs/>
        </w:rPr>
        <w:t>d and Tenure-</w:t>
      </w:r>
      <w:r w:rsidR="00C64C05" w:rsidRPr="00C30CB7">
        <w:rPr>
          <w:rFonts w:ascii="Arial" w:eastAsia="Times New Roman" w:hAnsi="Arial" w:cs="Arial"/>
          <w:bCs/>
        </w:rPr>
        <w:t>Track Faculty</w:t>
      </w:r>
      <w:r w:rsidR="00C64C05" w:rsidRPr="00C30CB7">
        <w:rPr>
          <w:rFonts w:ascii="Arial" w:eastAsia="Times New Roman" w:hAnsi="Arial" w:cs="Arial"/>
        </w:rPr>
        <w:t xml:space="preserve"> </w:t>
      </w:r>
      <w:r w:rsidRPr="00C30CB7">
        <w:rPr>
          <w:rFonts w:ascii="Arial" w:eastAsia="Times New Roman" w:hAnsi="Arial" w:cs="Arial"/>
        </w:rPr>
        <w:t>can only be applied to direct expenses associated with the professional development of the faculty member requesting the funds.</w:t>
      </w:r>
    </w:p>
    <w:p w14:paraId="4BB09F45" w14:textId="4152916D" w:rsidR="00E829A9" w:rsidRPr="00C30CB7" w:rsidRDefault="00E829A9" w:rsidP="00745D84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C30CB7">
        <w:rPr>
          <w:rFonts w:ascii="Arial" w:eastAsia="Times New Roman" w:hAnsi="Arial" w:cs="Arial"/>
        </w:rPr>
        <w:t>The fund may support and be applied to a wide range of activities</w:t>
      </w:r>
      <w:r w:rsidR="009C61BB" w:rsidRPr="00C30CB7">
        <w:rPr>
          <w:rFonts w:ascii="Arial" w:eastAsia="Times New Roman" w:hAnsi="Arial" w:cs="Arial"/>
        </w:rPr>
        <w:t xml:space="preserve"> including</w:t>
      </w:r>
      <w:r w:rsidR="00497A80">
        <w:rPr>
          <w:rFonts w:ascii="Arial" w:eastAsia="Times New Roman" w:hAnsi="Arial" w:cs="Arial"/>
        </w:rPr>
        <w:t>, but not limited to</w:t>
      </w:r>
      <w:r w:rsidRPr="00C30CB7">
        <w:rPr>
          <w:rFonts w:ascii="Arial" w:eastAsia="Times New Roman" w:hAnsi="Arial" w:cs="Arial"/>
        </w:rPr>
        <w:t>:</w:t>
      </w:r>
    </w:p>
    <w:p w14:paraId="2D482C0B" w14:textId="34F3A68E" w:rsidR="00D84A29" w:rsidRPr="00D84A29" w:rsidRDefault="00D84A29" w:rsidP="00D84A2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bookmarkStart w:id="1" w:name="_Hlk46927843"/>
      <w:r w:rsidRPr="00D84A29">
        <w:rPr>
          <w:rFonts w:ascii="Arial" w:eastAsia="Times New Roman" w:hAnsi="Arial" w:cs="Arial"/>
        </w:rPr>
        <w:t xml:space="preserve">Registration fees for virtual conferences, workshops, or other professional meetings relevant to </w:t>
      </w:r>
      <w:r w:rsidR="00FF761F">
        <w:rPr>
          <w:rFonts w:ascii="Arial" w:eastAsia="Times New Roman" w:hAnsi="Arial" w:cs="Arial"/>
        </w:rPr>
        <w:t>the faculty member’s</w:t>
      </w:r>
      <w:r w:rsidR="00FF761F" w:rsidRPr="00D84A29">
        <w:rPr>
          <w:rFonts w:ascii="Arial" w:eastAsia="Times New Roman" w:hAnsi="Arial" w:cs="Arial"/>
        </w:rPr>
        <w:t xml:space="preserve"> </w:t>
      </w:r>
      <w:r w:rsidRPr="00D84A29">
        <w:rPr>
          <w:rFonts w:ascii="Arial" w:eastAsia="Times New Roman" w:hAnsi="Arial" w:cs="Arial"/>
        </w:rPr>
        <w:t>scholarship or teaching</w:t>
      </w:r>
    </w:p>
    <w:p w14:paraId="44CE67FB" w14:textId="77777777" w:rsidR="00D84A29" w:rsidRPr="00D84A29" w:rsidRDefault="00D84A29" w:rsidP="00D84A2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84A29">
        <w:rPr>
          <w:rFonts w:ascii="Arial" w:eastAsia="Times New Roman" w:hAnsi="Arial" w:cs="Arial"/>
        </w:rPr>
        <w:t>Registration fees for continuing education courses required for obtaining and renewing licensure and credentials </w:t>
      </w:r>
    </w:p>
    <w:p w14:paraId="392728DF" w14:textId="02495C9F" w:rsidR="00D84A29" w:rsidRPr="00D84A29" w:rsidRDefault="00D84A29" w:rsidP="00D84A2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84A29">
        <w:rPr>
          <w:rFonts w:ascii="Arial" w:eastAsia="Times New Roman" w:hAnsi="Arial" w:cs="Arial"/>
        </w:rPr>
        <w:t xml:space="preserve">Membership dues to professional organizations relevant to </w:t>
      </w:r>
      <w:r w:rsidR="00FF761F">
        <w:rPr>
          <w:rFonts w:ascii="Arial" w:eastAsia="Times New Roman" w:hAnsi="Arial" w:cs="Arial"/>
        </w:rPr>
        <w:t>the faculty member’s</w:t>
      </w:r>
      <w:r w:rsidRPr="00D84A29">
        <w:rPr>
          <w:rFonts w:ascii="Arial" w:eastAsia="Times New Roman" w:hAnsi="Arial" w:cs="Arial"/>
        </w:rPr>
        <w:t xml:space="preserve"> scholarship or teaching</w:t>
      </w:r>
    </w:p>
    <w:p w14:paraId="2E57D10C" w14:textId="77777777" w:rsidR="00D84A29" w:rsidRPr="00D84A29" w:rsidRDefault="00D84A29" w:rsidP="00D84A2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84A29">
        <w:rPr>
          <w:rFonts w:ascii="Arial" w:eastAsia="Times New Roman" w:hAnsi="Arial" w:cs="Arial"/>
        </w:rPr>
        <w:lastRenderedPageBreak/>
        <w:t xml:space="preserve">Costs of in-state travel for the purposes of scholarship such as field study, archival, and data collection </w:t>
      </w:r>
    </w:p>
    <w:p w14:paraId="79FB919F" w14:textId="5372FABB" w:rsidR="00D84A29" w:rsidRPr="00D84A29" w:rsidRDefault="00D84A29" w:rsidP="00D84A2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84A29">
        <w:rPr>
          <w:rFonts w:ascii="Arial" w:eastAsia="Times New Roman" w:hAnsi="Arial" w:cs="Arial"/>
        </w:rPr>
        <w:t>Material costs relevant to</w:t>
      </w:r>
      <w:r w:rsidR="00FF761F" w:rsidRPr="00FF761F">
        <w:rPr>
          <w:rFonts w:ascii="Arial" w:eastAsia="Times New Roman" w:hAnsi="Arial" w:cs="Arial"/>
        </w:rPr>
        <w:t xml:space="preserve"> </w:t>
      </w:r>
      <w:r w:rsidR="00FF761F">
        <w:rPr>
          <w:rFonts w:ascii="Arial" w:eastAsia="Times New Roman" w:hAnsi="Arial" w:cs="Arial"/>
        </w:rPr>
        <w:t>the faculty member’s</w:t>
      </w:r>
      <w:r w:rsidRPr="00D84A29">
        <w:rPr>
          <w:rFonts w:ascii="Arial" w:eastAsia="Times New Roman" w:hAnsi="Arial" w:cs="Arial"/>
        </w:rPr>
        <w:t xml:space="preserve"> scholarship or teaching that are not readily available (books, journals, videos, microforms, laboratory and studio supplies, software, datasets, etc.)  [NOTE: computer software, hardware, or </w:t>
      </w:r>
      <w:r w:rsidRPr="00D84A29">
        <w:rPr>
          <w:rFonts w:ascii="Arial" w:hAnsi="Arial" w:cs="Arial"/>
        </w:rPr>
        <w:t xml:space="preserve">peripherals – must follow the </w:t>
      </w:r>
      <w:hyperlink r:id="rId7" w:history="1">
        <w:r w:rsidRPr="00D84A29">
          <w:rPr>
            <w:rStyle w:val="Hyperlink"/>
            <w:rFonts w:ascii="Arial" w:hAnsi="Arial" w:cs="Arial"/>
          </w:rPr>
          <w:t>Technology Supply Policy</w:t>
        </w:r>
      </w:hyperlink>
      <w:r w:rsidRPr="00D84A29">
        <w:rPr>
          <w:rFonts w:ascii="Arial" w:hAnsi="Arial" w:cs="Arial"/>
        </w:rPr>
        <w:t>]</w:t>
      </w:r>
    </w:p>
    <w:p w14:paraId="430E7FEA" w14:textId="77777777" w:rsidR="00D84A29" w:rsidRPr="00D84A29" w:rsidRDefault="00D84A29" w:rsidP="00D84A29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D84A29">
        <w:rPr>
          <w:rFonts w:ascii="Arial" w:eastAsia="Times New Roman" w:hAnsi="Arial" w:cs="Arial"/>
        </w:rPr>
        <w:t xml:space="preserve">Editorial services/fees for article, journal or book submissions [NOTE: payments for services must be done through department P-card according to </w:t>
      </w:r>
      <w:hyperlink r:id="rId8" w:history="1">
        <w:r w:rsidRPr="00D84A29">
          <w:rPr>
            <w:rStyle w:val="Hyperlink"/>
            <w:rFonts w:ascii="Arial" w:hAnsi="Arial" w:cs="Arial"/>
          </w:rPr>
          <w:t>Business and Finance Purchasing Procedures</w:t>
        </w:r>
      </w:hyperlink>
      <w:r w:rsidRPr="00D84A29">
        <w:rPr>
          <w:rStyle w:val="Hyperlink"/>
          <w:rFonts w:ascii="Arial" w:hAnsi="Arial" w:cs="Arial"/>
        </w:rPr>
        <w:t xml:space="preserve"> - the independence of the provider must be established</w:t>
      </w:r>
      <w:r w:rsidRPr="00D84A29">
        <w:rPr>
          <w:rFonts w:ascii="Arial" w:eastAsia="Times New Roman" w:hAnsi="Arial" w:cs="Arial"/>
        </w:rPr>
        <w:t xml:space="preserve">] </w:t>
      </w:r>
    </w:p>
    <w:bookmarkEnd w:id="1"/>
    <w:p w14:paraId="7D2437E2" w14:textId="610C2A87" w:rsidR="003D50DC" w:rsidRPr="00C30CB7" w:rsidRDefault="003D50DC" w:rsidP="00745D84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C30CB7">
        <w:rPr>
          <w:rFonts w:ascii="Arial" w:eastAsia="Times New Roman" w:hAnsi="Arial" w:cs="Arial"/>
        </w:rPr>
        <w:t xml:space="preserve">Participation </w:t>
      </w:r>
      <w:hyperlink r:id="rId9" w:history="1">
        <w:r w:rsidRPr="00C30CB7">
          <w:rPr>
            <w:rStyle w:val="Hyperlink"/>
            <w:rFonts w:ascii="Arial" w:eastAsia="Times New Roman" w:hAnsi="Arial" w:cs="Arial"/>
          </w:rPr>
          <w:t xml:space="preserve">Support on Human Subjects Research </w:t>
        </w:r>
        <w:r w:rsidR="00A644A7" w:rsidRPr="00C30CB7">
          <w:rPr>
            <w:rStyle w:val="Hyperlink"/>
            <w:rFonts w:ascii="Arial" w:eastAsia="Times New Roman" w:hAnsi="Arial" w:cs="Arial"/>
          </w:rPr>
          <w:t>Studies</w:t>
        </w:r>
      </w:hyperlink>
    </w:p>
    <w:p w14:paraId="062A7ECC" w14:textId="6AB706A8" w:rsidR="00670B29" w:rsidRPr="00C30CB7" w:rsidRDefault="009C61BB" w:rsidP="009C61BB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C30CB7">
        <w:rPr>
          <w:rFonts w:ascii="Arial" w:eastAsia="Times New Roman" w:hAnsi="Arial" w:cs="Arial"/>
        </w:rPr>
        <w:t xml:space="preserve">All other expenditures not falling within the aforementioned categories must be preapproved by Robert Smart </w:t>
      </w:r>
      <w:r w:rsidR="004B1E53">
        <w:rPr>
          <w:rFonts w:ascii="Arial" w:eastAsia="Times New Roman" w:hAnsi="Arial" w:cs="Arial"/>
        </w:rPr>
        <w:t>(smartr</w:t>
      </w:r>
      <w:r w:rsidRPr="00C30CB7">
        <w:rPr>
          <w:rFonts w:ascii="Arial" w:eastAsia="Times New Roman" w:hAnsi="Arial" w:cs="Arial"/>
        </w:rPr>
        <w:t>@gvsu.edu).</w:t>
      </w:r>
    </w:p>
    <w:p w14:paraId="04F377E3" w14:textId="77777777" w:rsidR="004B1E53" w:rsidRDefault="004B1E53" w:rsidP="00745D8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2549FEEE" w14:textId="0A8755CE" w:rsidR="00E829A9" w:rsidRPr="00C30CB7" w:rsidRDefault="009A5084" w:rsidP="00745D84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Faculty </w:t>
      </w:r>
      <w:r w:rsidRPr="00C30CB7">
        <w:rPr>
          <w:rFonts w:ascii="Arial" w:eastAsia="Times New Roman" w:hAnsi="Arial" w:cs="Arial"/>
          <w:b/>
          <w:bCs/>
        </w:rPr>
        <w:t xml:space="preserve">Professional Development Fund </w:t>
      </w:r>
      <w:r w:rsidR="00E829A9" w:rsidRPr="00C30CB7">
        <w:rPr>
          <w:rFonts w:ascii="Arial" w:eastAsia="Times New Roman" w:hAnsi="Arial" w:cs="Arial"/>
          <w:b/>
          <w:bCs/>
        </w:rPr>
        <w:t>Process</w:t>
      </w:r>
    </w:p>
    <w:p w14:paraId="33929A6A" w14:textId="77777777" w:rsidR="002D750B" w:rsidRPr="00C30CB7" w:rsidRDefault="002D750B" w:rsidP="006A7ECA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i/>
        </w:rPr>
      </w:pPr>
      <w:r w:rsidRPr="00C30CB7">
        <w:rPr>
          <w:rFonts w:ascii="Arial" w:hAnsi="Arial" w:cs="Arial"/>
          <w:b/>
          <w:i/>
        </w:rPr>
        <w:t>Application</w:t>
      </w:r>
    </w:p>
    <w:p w14:paraId="16E6750E" w14:textId="134DE1E7" w:rsidR="00E829A9" w:rsidRPr="00C30CB7" w:rsidRDefault="006A7ECA" w:rsidP="002D750B">
      <w:pPr>
        <w:spacing w:before="100" w:beforeAutospacing="1" w:after="0" w:line="240" w:lineRule="auto"/>
        <w:ind w:left="720"/>
        <w:rPr>
          <w:rFonts w:ascii="Arial" w:eastAsia="Times New Roman" w:hAnsi="Arial" w:cs="Arial"/>
        </w:rPr>
      </w:pPr>
      <w:r w:rsidRPr="00C30CB7">
        <w:rPr>
          <w:rFonts w:ascii="Arial" w:hAnsi="Arial" w:cs="Arial"/>
        </w:rPr>
        <w:t>Apply by selecting "</w:t>
      </w:r>
      <w:r w:rsidRPr="00C30CB7">
        <w:rPr>
          <w:rFonts w:ascii="Arial" w:eastAsia="Times New Roman" w:hAnsi="Arial" w:cs="Arial"/>
        </w:rPr>
        <w:t xml:space="preserve"> Professional Development Fund </w:t>
      </w:r>
      <w:r w:rsidRPr="00C30CB7">
        <w:rPr>
          <w:rFonts w:ascii="Arial" w:hAnsi="Arial" w:cs="Arial"/>
        </w:rPr>
        <w:t>" from the dropdown menu in the</w:t>
      </w:r>
      <w:hyperlink r:id="rId10" w:history="1">
        <w:r w:rsidRPr="00C30CB7">
          <w:rPr>
            <w:rStyle w:val="Hyperlink"/>
            <w:rFonts w:ascii="Arial" w:hAnsi="Arial" w:cs="Arial"/>
          </w:rPr>
          <w:t> CSCE Grants System</w:t>
        </w:r>
      </w:hyperlink>
      <w:r w:rsidRPr="00C30CB7">
        <w:rPr>
          <w:rFonts w:ascii="Arial" w:hAnsi="Arial" w:cs="Arial"/>
        </w:rPr>
        <w:t xml:space="preserve"> (MyApps). Make sure to </w:t>
      </w:r>
      <w:r w:rsidRPr="00C30CB7">
        <w:rPr>
          <w:rFonts w:ascii="Arial" w:eastAsia="Times New Roman" w:hAnsi="Arial" w:cs="Arial"/>
        </w:rPr>
        <w:t>c</w:t>
      </w:r>
      <w:r w:rsidR="001E543C" w:rsidRPr="00C30CB7">
        <w:rPr>
          <w:rFonts w:ascii="Arial" w:eastAsia="Times New Roman" w:hAnsi="Arial" w:cs="Arial"/>
        </w:rPr>
        <w:t xml:space="preserve">heck the appropriate expense category </w:t>
      </w:r>
      <w:r w:rsidR="00B01601" w:rsidRPr="00C30CB7">
        <w:rPr>
          <w:rFonts w:ascii="Arial" w:eastAsia="Times New Roman" w:hAnsi="Arial" w:cs="Arial"/>
        </w:rPr>
        <w:t xml:space="preserve">(or categories) </w:t>
      </w:r>
      <w:r w:rsidR="001E543C" w:rsidRPr="00C30CB7">
        <w:rPr>
          <w:rFonts w:ascii="Arial" w:eastAsia="Times New Roman" w:hAnsi="Arial" w:cs="Arial"/>
        </w:rPr>
        <w:t xml:space="preserve">in which your </w:t>
      </w:r>
      <w:r w:rsidR="009A5084">
        <w:rPr>
          <w:rFonts w:ascii="Arial" w:eastAsia="Times New Roman" w:hAnsi="Arial" w:cs="Arial"/>
        </w:rPr>
        <w:t>requested professional development</w:t>
      </w:r>
      <w:r w:rsidR="009A5084" w:rsidRPr="00C30CB7">
        <w:rPr>
          <w:rFonts w:ascii="Arial" w:eastAsia="Times New Roman" w:hAnsi="Arial" w:cs="Arial"/>
        </w:rPr>
        <w:t xml:space="preserve"> </w:t>
      </w:r>
      <w:r w:rsidR="001E543C" w:rsidRPr="00C30CB7">
        <w:rPr>
          <w:rFonts w:ascii="Arial" w:eastAsia="Times New Roman" w:hAnsi="Arial" w:cs="Arial"/>
        </w:rPr>
        <w:t>falls.  If your expenditure</w:t>
      </w:r>
      <w:r w:rsidR="00B01601" w:rsidRPr="00C30CB7">
        <w:rPr>
          <w:rFonts w:ascii="Arial" w:eastAsia="Times New Roman" w:hAnsi="Arial" w:cs="Arial"/>
        </w:rPr>
        <w:t>s</w:t>
      </w:r>
      <w:r w:rsidR="001E543C" w:rsidRPr="00C30CB7">
        <w:rPr>
          <w:rFonts w:ascii="Arial" w:eastAsia="Times New Roman" w:hAnsi="Arial" w:cs="Arial"/>
        </w:rPr>
        <w:t xml:space="preserve"> do not fall within a particular category – choose the “other” category and explain the expense.  “Other” </w:t>
      </w:r>
      <w:r w:rsidR="003D50DC" w:rsidRPr="00C30CB7">
        <w:rPr>
          <w:rFonts w:ascii="Arial" w:eastAsia="Times New Roman" w:hAnsi="Arial" w:cs="Arial"/>
        </w:rPr>
        <w:t>expenditures will</w:t>
      </w:r>
      <w:r w:rsidRPr="00C30CB7">
        <w:rPr>
          <w:rFonts w:ascii="Arial" w:eastAsia="Times New Roman" w:hAnsi="Arial" w:cs="Arial"/>
        </w:rPr>
        <w:t xml:space="preserve"> be evaluated to ensure the request is relevant to the faculty member’s field or pedagogy and will contribute to the requestor’s professional development.</w:t>
      </w:r>
      <w:r w:rsidR="00374557" w:rsidRPr="00C30CB7">
        <w:rPr>
          <w:rFonts w:ascii="Arial" w:eastAsia="Times New Roman" w:hAnsi="Arial" w:cs="Arial"/>
        </w:rPr>
        <w:t xml:space="preserve"> </w:t>
      </w:r>
      <w:r w:rsidR="009A5084">
        <w:rPr>
          <w:rFonts w:ascii="Arial" w:eastAsia="Times New Roman" w:hAnsi="Arial" w:cs="Arial"/>
        </w:rPr>
        <w:t>Requests must be submitted prior to</w:t>
      </w:r>
      <w:r w:rsidR="00E829A9" w:rsidRPr="00C30CB7">
        <w:rPr>
          <w:rFonts w:ascii="Arial" w:eastAsia="Times New Roman" w:hAnsi="Arial" w:cs="Arial"/>
        </w:rPr>
        <w:t xml:space="preserve"> expenses </w:t>
      </w:r>
      <w:r w:rsidR="009A5084">
        <w:rPr>
          <w:rFonts w:ascii="Arial" w:eastAsia="Times New Roman" w:hAnsi="Arial" w:cs="Arial"/>
        </w:rPr>
        <w:t>being</w:t>
      </w:r>
      <w:r w:rsidR="009A5084" w:rsidRPr="00C30CB7">
        <w:rPr>
          <w:rFonts w:ascii="Arial" w:eastAsia="Times New Roman" w:hAnsi="Arial" w:cs="Arial"/>
        </w:rPr>
        <w:t xml:space="preserve"> </w:t>
      </w:r>
      <w:r w:rsidR="00E829A9" w:rsidRPr="00C30CB7">
        <w:rPr>
          <w:rFonts w:ascii="Arial" w:eastAsia="Times New Roman" w:hAnsi="Arial" w:cs="Arial"/>
        </w:rPr>
        <w:t>incurred to ensure there are funds available from their allotment and the requested expenses are allowable. </w:t>
      </w:r>
    </w:p>
    <w:p w14:paraId="44361FE5" w14:textId="319E3C98" w:rsidR="002D750B" w:rsidRPr="00C30CB7" w:rsidRDefault="002D750B" w:rsidP="00374557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i/>
        </w:rPr>
      </w:pPr>
      <w:r w:rsidRPr="00C30CB7">
        <w:rPr>
          <w:rFonts w:ascii="Arial" w:eastAsia="Times New Roman" w:hAnsi="Arial" w:cs="Arial"/>
          <w:b/>
          <w:i/>
        </w:rPr>
        <w:t xml:space="preserve">Award </w:t>
      </w:r>
      <w:r w:rsidR="008530E2">
        <w:rPr>
          <w:rFonts w:ascii="Arial" w:eastAsia="Times New Roman" w:hAnsi="Arial" w:cs="Arial"/>
          <w:b/>
          <w:i/>
        </w:rPr>
        <w:t>Communication</w:t>
      </w:r>
    </w:p>
    <w:p w14:paraId="2283909B" w14:textId="15C78C5D" w:rsidR="002C0544" w:rsidRPr="00DB406A" w:rsidRDefault="002C0544" w:rsidP="002C0544">
      <w:pPr>
        <w:spacing w:before="100" w:beforeAutospacing="1"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Once</w:t>
      </w:r>
      <w:r w:rsidRPr="00DB406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submitted</w:t>
      </w:r>
      <w:r w:rsidRPr="00DB406A">
        <w:rPr>
          <w:rFonts w:ascii="Arial" w:eastAsia="Times New Roman" w:hAnsi="Arial" w:cs="Arial"/>
        </w:rPr>
        <w:t xml:space="preserve">, you will receive an </w:t>
      </w:r>
      <w:r w:rsidRPr="00AB75AD">
        <w:rPr>
          <w:rFonts w:ascii="Arial" w:eastAsia="Times New Roman" w:hAnsi="Arial" w:cs="Arial"/>
          <w:i/>
        </w:rPr>
        <w:t>Approval Letter</w:t>
      </w:r>
      <w:r w:rsidRPr="00DB406A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The items which you qualify for reimbursement will be listed in the </w:t>
      </w:r>
      <w:r w:rsidRPr="00AB75AD">
        <w:rPr>
          <w:rFonts w:ascii="Arial" w:eastAsia="Times New Roman" w:hAnsi="Arial" w:cs="Arial"/>
          <w:i/>
        </w:rPr>
        <w:t>Approval Letter</w:t>
      </w:r>
      <w:r>
        <w:rPr>
          <w:rFonts w:ascii="Arial" w:eastAsia="Times New Roman" w:hAnsi="Arial" w:cs="Arial"/>
        </w:rPr>
        <w:t>,</w:t>
      </w:r>
      <w:r w:rsidR="003D50DC" w:rsidRPr="00C30CB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if additional items are later added, you may re-submit a new request. </w:t>
      </w:r>
      <w:r w:rsidRPr="00DB406A">
        <w:rPr>
          <w:rFonts w:ascii="Arial" w:eastAsia="Times New Roman" w:hAnsi="Arial" w:cs="Arial"/>
        </w:rPr>
        <w:t>Faculty members should retain a copy of the form for their records</w:t>
      </w:r>
      <w:r>
        <w:rPr>
          <w:rFonts w:ascii="Arial" w:eastAsia="Times New Roman" w:hAnsi="Arial" w:cs="Arial"/>
        </w:rPr>
        <w:t xml:space="preserve"> and must submit this form when they submit their request for reimbursement</w:t>
      </w:r>
      <w:r w:rsidRPr="00DB406A">
        <w:rPr>
          <w:rFonts w:ascii="Arial" w:eastAsia="Times New Roman" w:hAnsi="Arial" w:cs="Arial"/>
        </w:rPr>
        <w:t>.</w:t>
      </w:r>
    </w:p>
    <w:p w14:paraId="3BD5DD10" w14:textId="7BFAF88B" w:rsidR="002D750B" w:rsidRPr="00C30CB7" w:rsidRDefault="002D750B" w:rsidP="002D750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i/>
        </w:rPr>
      </w:pPr>
      <w:r w:rsidRPr="00C30CB7">
        <w:rPr>
          <w:rFonts w:ascii="Arial" w:eastAsia="Times New Roman" w:hAnsi="Arial" w:cs="Arial"/>
          <w:b/>
          <w:i/>
        </w:rPr>
        <w:t>Reimbursement</w:t>
      </w:r>
    </w:p>
    <w:p w14:paraId="7C49CD38" w14:textId="77777777" w:rsidR="00833489" w:rsidRPr="00833489" w:rsidRDefault="002D750B" w:rsidP="00833489">
      <w:pPr>
        <w:pStyle w:val="ListParagraph"/>
        <w:spacing w:before="100" w:beforeAutospacing="1"/>
        <w:rPr>
          <w:rFonts w:ascii="Arial" w:eastAsia="Times New Roman" w:hAnsi="Arial" w:cs="Arial"/>
          <w:lang w:bidi="en-US"/>
        </w:rPr>
      </w:pPr>
      <w:r w:rsidRPr="00C30CB7">
        <w:rPr>
          <w:rFonts w:ascii="Arial" w:eastAsia="Times New Roman" w:hAnsi="Arial" w:cs="Arial"/>
        </w:rPr>
        <w:t xml:space="preserve">For distribution of funds, faculty members must submit all original itemized receipts along with a completed travel and expense report to the Center for Scholarly and Creative Excellence </w:t>
      </w:r>
      <w:r w:rsidR="00DB406A" w:rsidRPr="00C30CB7">
        <w:rPr>
          <w:rFonts w:ascii="Arial" w:eastAsia="Times New Roman" w:hAnsi="Arial" w:cs="Arial"/>
        </w:rPr>
        <w:t>(</w:t>
      </w:r>
      <w:hyperlink r:id="rId11" w:history="1">
        <w:r w:rsidR="00833489" w:rsidRPr="00833489">
          <w:rPr>
            <w:rStyle w:val="Hyperlink"/>
            <w:rFonts w:ascii="Arial" w:hAnsi="Arial" w:cs="Arial"/>
          </w:rPr>
          <w:t>csce@gvsu.edu</w:t>
        </w:r>
      </w:hyperlink>
      <w:r w:rsidR="00DB406A" w:rsidRPr="00C30CB7">
        <w:rPr>
          <w:rFonts w:ascii="Arial" w:hAnsi="Arial" w:cs="Arial"/>
        </w:rPr>
        <w:t>)</w:t>
      </w:r>
      <w:r w:rsidRPr="00C30CB7">
        <w:rPr>
          <w:rFonts w:ascii="Arial" w:eastAsia="Times New Roman" w:hAnsi="Arial" w:cs="Arial"/>
        </w:rPr>
        <w:t xml:space="preserve"> </w:t>
      </w:r>
      <w:r w:rsidR="00DB406A" w:rsidRPr="00C30CB7">
        <w:rPr>
          <w:rFonts w:ascii="Arial" w:eastAsia="Times New Roman" w:hAnsi="Arial" w:cs="Arial"/>
        </w:rPr>
        <w:t xml:space="preserve">within </w:t>
      </w:r>
      <w:r w:rsidR="009F2EFB">
        <w:rPr>
          <w:rFonts w:ascii="Arial" w:eastAsia="Times New Roman" w:hAnsi="Arial" w:cs="Arial"/>
        </w:rPr>
        <w:t>15</w:t>
      </w:r>
      <w:r w:rsidR="00DB406A" w:rsidRPr="00C30CB7">
        <w:rPr>
          <w:rFonts w:ascii="Arial" w:eastAsia="Times New Roman" w:hAnsi="Arial" w:cs="Arial"/>
        </w:rPr>
        <w:t xml:space="preserve"> days of </w:t>
      </w:r>
      <w:r w:rsidR="009F2EFB">
        <w:rPr>
          <w:rFonts w:ascii="Arial" w:eastAsia="Times New Roman" w:hAnsi="Arial" w:cs="Arial"/>
        </w:rPr>
        <w:t>the close of the quarter in which the exp</w:t>
      </w:r>
      <w:r w:rsidR="00DB406A" w:rsidRPr="00C30CB7">
        <w:rPr>
          <w:rFonts w:ascii="Arial" w:eastAsia="Times New Roman" w:hAnsi="Arial" w:cs="Arial"/>
        </w:rPr>
        <w:t>enditure</w:t>
      </w:r>
      <w:r w:rsidR="009F2EFB">
        <w:rPr>
          <w:rFonts w:ascii="Arial" w:eastAsia="Times New Roman" w:hAnsi="Arial" w:cs="Arial"/>
        </w:rPr>
        <w:t xml:space="preserve"> was </w:t>
      </w:r>
      <w:r w:rsidR="009F2EFB" w:rsidRPr="00C30CB7">
        <w:rPr>
          <w:rFonts w:ascii="Arial" w:eastAsia="Times New Roman" w:hAnsi="Arial" w:cs="Arial"/>
        </w:rPr>
        <w:t>encumber</w:t>
      </w:r>
      <w:r w:rsidR="009F2EFB">
        <w:rPr>
          <w:rFonts w:ascii="Arial" w:eastAsia="Times New Roman" w:hAnsi="Arial" w:cs="Arial"/>
        </w:rPr>
        <w:t>ed</w:t>
      </w:r>
      <w:r w:rsidR="00DB406A" w:rsidRPr="00C30CB7">
        <w:rPr>
          <w:rFonts w:ascii="Arial" w:eastAsia="Times New Roman" w:hAnsi="Arial" w:cs="Arial"/>
        </w:rPr>
        <w:t>.</w:t>
      </w:r>
      <w:r w:rsidRPr="00C30CB7">
        <w:rPr>
          <w:rFonts w:ascii="Arial" w:eastAsia="Times New Roman" w:hAnsi="Arial" w:cs="Arial"/>
        </w:rPr>
        <w:t xml:space="preserve"> Travel and Expense forms should be sent electronically.</w:t>
      </w:r>
      <w:r w:rsidR="00833489">
        <w:rPr>
          <w:rFonts w:ascii="Arial" w:eastAsia="Times New Roman" w:hAnsi="Arial" w:cs="Arial"/>
        </w:rPr>
        <w:t xml:space="preserve"> </w:t>
      </w:r>
      <w:r w:rsidR="00833489" w:rsidRPr="00833489">
        <w:rPr>
          <w:rFonts w:ascii="Arial" w:eastAsia="Times New Roman" w:hAnsi="Arial" w:cs="Arial"/>
          <w:lang w:bidi="en-US"/>
        </w:rPr>
        <w:t>The CSCE will comply with fiscal year-end protocols established by the Accounting office.</w:t>
      </w:r>
    </w:p>
    <w:p w14:paraId="587F8B1A" w14:textId="386EABCC" w:rsidR="008530E2" w:rsidRDefault="008530E2" w:rsidP="002D750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2B1080F0" w14:textId="24A55DD1" w:rsidR="00D84A29" w:rsidRDefault="00D84A29" w:rsidP="002D750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267E62C7" w14:textId="77777777" w:rsidR="00833489" w:rsidRDefault="00833489" w:rsidP="00833489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</w:p>
    <w:p w14:paraId="770CE195" w14:textId="77777777" w:rsidR="00833489" w:rsidRDefault="00833489" w:rsidP="002D750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5"/>
        <w:gridCol w:w="4225"/>
      </w:tblGrid>
      <w:tr w:rsidR="002C0544" w14:paraId="2C8C8937" w14:textId="77777777" w:rsidTr="00C749E7">
        <w:tc>
          <w:tcPr>
            <w:tcW w:w="4405" w:type="dxa"/>
            <w:shd w:val="clear" w:color="auto" w:fill="BFBFBF" w:themeFill="background1" w:themeFillShade="BF"/>
          </w:tcPr>
          <w:p w14:paraId="6932FD7D" w14:textId="5CDB3B63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Quarter in which PD expenditure occurred</w:t>
            </w:r>
          </w:p>
        </w:tc>
        <w:tc>
          <w:tcPr>
            <w:tcW w:w="4225" w:type="dxa"/>
            <w:shd w:val="clear" w:color="auto" w:fill="BFBFBF" w:themeFill="background1" w:themeFillShade="BF"/>
          </w:tcPr>
          <w:p w14:paraId="6433A6A2" w14:textId="01C17E23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Deadline to submit for reimbursement</w:t>
            </w:r>
          </w:p>
        </w:tc>
      </w:tr>
      <w:tr w:rsidR="002C0544" w14:paraId="02CF94D7" w14:textId="77777777" w:rsidTr="002C0544">
        <w:tc>
          <w:tcPr>
            <w:tcW w:w="4405" w:type="dxa"/>
          </w:tcPr>
          <w:p w14:paraId="2678E031" w14:textId="37787ACE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Q1 (7/1/2020 to 9/30/2020)</w:t>
            </w:r>
          </w:p>
        </w:tc>
        <w:tc>
          <w:tcPr>
            <w:tcW w:w="4225" w:type="dxa"/>
          </w:tcPr>
          <w:p w14:paraId="063D9025" w14:textId="7D31745D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October 15, 2020</w:t>
            </w:r>
          </w:p>
        </w:tc>
      </w:tr>
      <w:tr w:rsidR="002C0544" w14:paraId="60207549" w14:textId="77777777" w:rsidTr="002C0544">
        <w:tc>
          <w:tcPr>
            <w:tcW w:w="4405" w:type="dxa"/>
          </w:tcPr>
          <w:p w14:paraId="708DB4D3" w14:textId="180B91AB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Q2 (10/1/2020 to 12/31/2020)</w:t>
            </w:r>
          </w:p>
        </w:tc>
        <w:tc>
          <w:tcPr>
            <w:tcW w:w="4225" w:type="dxa"/>
          </w:tcPr>
          <w:p w14:paraId="075EEFC1" w14:textId="35709A22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January 15, 2021</w:t>
            </w:r>
          </w:p>
        </w:tc>
      </w:tr>
      <w:tr w:rsidR="002C0544" w14:paraId="0D85B7DA" w14:textId="77777777" w:rsidTr="002C0544">
        <w:tc>
          <w:tcPr>
            <w:tcW w:w="4405" w:type="dxa"/>
          </w:tcPr>
          <w:p w14:paraId="584057DF" w14:textId="52EECB95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Q3 (1/1/2021 to 3/31/2021)</w:t>
            </w:r>
          </w:p>
        </w:tc>
        <w:tc>
          <w:tcPr>
            <w:tcW w:w="4225" w:type="dxa"/>
          </w:tcPr>
          <w:p w14:paraId="3777E47F" w14:textId="4B683F84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April 15, 2021</w:t>
            </w:r>
          </w:p>
        </w:tc>
      </w:tr>
      <w:tr w:rsidR="002C0544" w14:paraId="1776EE8E" w14:textId="77777777" w:rsidTr="002C0544">
        <w:tc>
          <w:tcPr>
            <w:tcW w:w="4405" w:type="dxa"/>
          </w:tcPr>
          <w:p w14:paraId="5DEAE642" w14:textId="0869DC32" w:rsidR="002C0544" w:rsidRDefault="002C0544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Q4 (</w:t>
            </w:r>
            <w:r w:rsidR="00D84A29">
              <w:rPr>
                <w:rFonts w:ascii="Arial" w:eastAsia="Times New Roman" w:hAnsi="Arial" w:cs="Arial"/>
              </w:rPr>
              <w:t>4/1/2021 to 6/30/2021)</w:t>
            </w:r>
          </w:p>
        </w:tc>
        <w:tc>
          <w:tcPr>
            <w:tcW w:w="4225" w:type="dxa"/>
          </w:tcPr>
          <w:p w14:paraId="1790576F" w14:textId="2965454F" w:rsidR="002C0544" w:rsidRDefault="00C16B6A" w:rsidP="002D750B">
            <w:pPr>
              <w:pStyle w:val="ListParagraph"/>
              <w:spacing w:before="100" w:beforeAutospacing="1"/>
              <w:ind w:left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July 3</w:t>
            </w:r>
            <w:r w:rsidR="00D84A29">
              <w:rPr>
                <w:rFonts w:ascii="Arial" w:eastAsia="Times New Roman" w:hAnsi="Arial" w:cs="Arial"/>
              </w:rPr>
              <w:t>, 2021</w:t>
            </w:r>
          </w:p>
        </w:tc>
      </w:tr>
    </w:tbl>
    <w:p w14:paraId="4A91A26E" w14:textId="77777777" w:rsidR="008530E2" w:rsidRPr="004B1E53" w:rsidRDefault="008530E2" w:rsidP="004B1E53">
      <w:pPr>
        <w:spacing w:before="100" w:beforeAutospacing="1" w:after="0" w:line="240" w:lineRule="auto"/>
        <w:rPr>
          <w:rFonts w:ascii="Arial" w:hAnsi="Arial" w:cs="Arial"/>
        </w:rPr>
      </w:pPr>
    </w:p>
    <w:p w14:paraId="661DD432" w14:textId="723E6BA5" w:rsidR="002D750B" w:rsidRDefault="002D750B" w:rsidP="002D750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  <w:r w:rsidRPr="00C30CB7">
        <w:rPr>
          <w:rFonts w:ascii="Arial" w:hAnsi="Arial" w:cs="Arial"/>
        </w:rPr>
        <w:t xml:space="preserve">Any services performed (editing, page publication, transcription, etc.) </w:t>
      </w:r>
      <w:r w:rsidRPr="00C30CB7">
        <w:rPr>
          <w:rFonts w:ascii="Arial" w:hAnsi="Arial" w:cs="Arial"/>
          <w:b/>
          <w:bCs/>
          <w:i/>
          <w:iCs/>
        </w:rPr>
        <w:t xml:space="preserve">MUST be paid directly by your department </w:t>
      </w:r>
      <w:r w:rsidRPr="00C30CB7">
        <w:rPr>
          <w:rFonts w:ascii="Arial" w:hAnsi="Arial" w:cs="Arial"/>
        </w:rPr>
        <w:t xml:space="preserve">via an invoice </w:t>
      </w:r>
      <w:r w:rsidRPr="00C30CB7">
        <w:rPr>
          <w:rFonts w:ascii="Arial" w:hAnsi="Arial" w:cs="Arial"/>
          <w:b/>
          <w:bCs/>
        </w:rPr>
        <w:t xml:space="preserve">or </w:t>
      </w:r>
      <w:r w:rsidRPr="00C30CB7">
        <w:rPr>
          <w:rFonts w:ascii="Arial" w:hAnsi="Arial" w:cs="Arial"/>
        </w:rPr>
        <w:t xml:space="preserve">purchased using your </w:t>
      </w:r>
      <w:r w:rsidRPr="00C30CB7">
        <w:rPr>
          <w:rFonts w:ascii="Arial" w:hAnsi="Arial" w:cs="Arial"/>
          <w:b/>
          <w:bCs/>
        </w:rPr>
        <w:t>department p-card</w:t>
      </w:r>
      <w:r w:rsidRPr="00C30CB7">
        <w:rPr>
          <w:rFonts w:ascii="Arial" w:hAnsi="Arial" w:cs="Arial"/>
        </w:rPr>
        <w:t>. Purchase of services using personal credit cards or funds will not be reimbursed</w:t>
      </w:r>
      <w:r w:rsidRPr="00C30CB7">
        <w:rPr>
          <w:rFonts w:ascii="Arial" w:eastAsia="Times New Roman" w:hAnsi="Arial" w:cs="Arial"/>
        </w:rPr>
        <w:t xml:space="preserve">. Once the expense is encumbered by your department, </w:t>
      </w:r>
      <w:r w:rsidR="009A5084">
        <w:rPr>
          <w:rFonts w:ascii="Arial" w:eastAsia="Times New Roman" w:hAnsi="Arial" w:cs="Arial"/>
        </w:rPr>
        <w:t>the</w:t>
      </w:r>
      <w:r w:rsidR="009A5084" w:rsidRPr="00C30CB7">
        <w:rPr>
          <w:rFonts w:ascii="Arial" w:eastAsia="Times New Roman" w:hAnsi="Arial" w:cs="Arial"/>
        </w:rPr>
        <w:t xml:space="preserve"> </w:t>
      </w:r>
      <w:r w:rsidRPr="00C30CB7">
        <w:rPr>
          <w:rFonts w:ascii="Arial" w:eastAsia="Times New Roman" w:hAnsi="Arial" w:cs="Arial"/>
        </w:rPr>
        <w:t xml:space="preserve">department support staff </w:t>
      </w:r>
      <w:r w:rsidR="009A5084">
        <w:rPr>
          <w:rFonts w:ascii="Arial" w:eastAsia="Times New Roman" w:hAnsi="Arial" w:cs="Arial"/>
        </w:rPr>
        <w:t>should</w:t>
      </w:r>
      <w:r w:rsidR="009A5084" w:rsidRPr="00C30CB7">
        <w:rPr>
          <w:rFonts w:ascii="Arial" w:eastAsia="Times New Roman" w:hAnsi="Arial" w:cs="Arial"/>
        </w:rPr>
        <w:t xml:space="preserve"> </w:t>
      </w:r>
      <w:r w:rsidRPr="00C30CB7">
        <w:rPr>
          <w:rFonts w:ascii="Arial" w:eastAsia="Times New Roman" w:hAnsi="Arial" w:cs="Arial"/>
        </w:rPr>
        <w:t xml:space="preserve">submit a request for reimbursement from CSCE using the OnBase system. </w:t>
      </w:r>
    </w:p>
    <w:p w14:paraId="2AFA3AE7" w14:textId="5CB286FC" w:rsidR="003E3C65" w:rsidRDefault="003E3C65" w:rsidP="002D750B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5A252C10" w14:textId="47C7ABE8" w:rsidR="00833489" w:rsidRPr="004A2A62" w:rsidRDefault="003E3C65" w:rsidP="004A2A62">
      <w:pPr>
        <w:pStyle w:val="ListParagraph"/>
        <w:spacing w:before="100" w:beforeAutospacing="1" w:after="0" w:line="240" w:lineRule="auto"/>
        <w:rPr>
          <w:rFonts w:ascii="Arial" w:hAnsi="Arial" w:cs="Arial"/>
        </w:rPr>
      </w:pPr>
      <w:r w:rsidRPr="003E3C65">
        <w:rPr>
          <w:rFonts w:ascii="Arial" w:eastAsia="Times New Roman" w:hAnsi="Arial" w:cs="Arial"/>
        </w:rPr>
        <w:t xml:space="preserve">Please Note: </w:t>
      </w:r>
      <w:r w:rsidRPr="00C16B6A">
        <w:rPr>
          <w:rFonts w:ascii="Arial" w:hAnsi="Arial" w:cs="Arial"/>
        </w:rPr>
        <w:t>Grand Valley State University has sales and tax exemption in Michigan. To qualify for tax exemption, purchases must be invoiced to/paid for by the University. Please note some states require additional documentation. Consult Procurement Services to verify tax exempt status</w:t>
      </w:r>
      <w:r w:rsidR="00833489">
        <w:rPr>
          <w:rFonts w:ascii="Arial" w:hAnsi="Arial" w:cs="Arial"/>
        </w:rPr>
        <w:t>.</w:t>
      </w:r>
    </w:p>
    <w:p w14:paraId="2EAAC5C0" w14:textId="05DF9F81" w:rsidR="00833489" w:rsidRDefault="00833489" w:rsidP="002D750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T&amp;E Tips</w:t>
      </w:r>
    </w:p>
    <w:p w14:paraId="21A05137" w14:textId="77777777" w:rsidR="00297756" w:rsidRPr="004A2A62" w:rsidRDefault="00297756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A2A62">
        <w:rPr>
          <w:rFonts w:ascii="Arial" w:eastAsia="Times New Roman" w:hAnsi="Arial" w:cs="Arial"/>
        </w:rPr>
        <w:t xml:space="preserve">Download the appropriate </w:t>
      </w:r>
      <w:hyperlink r:id="rId12" w:history="1">
        <w:r w:rsidRPr="004A2A62">
          <w:rPr>
            <w:rStyle w:val="Hyperlink"/>
            <w:rFonts w:ascii="Arial" w:eastAsia="Times New Roman" w:hAnsi="Arial" w:cs="Arial"/>
          </w:rPr>
          <w:t>Travel and Expense Reimbursement Form</w:t>
        </w:r>
      </w:hyperlink>
    </w:p>
    <w:p w14:paraId="6EF6DBAC" w14:textId="4686D07B" w:rsidR="00833489" w:rsidRDefault="00297756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A2A62">
        <w:rPr>
          <w:rFonts w:ascii="Arial" w:eastAsia="Times New Roman" w:hAnsi="Arial" w:cs="Arial"/>
        </w:rPr>
        <w:t>Complete with distribution information (Use G# - Not SSN!)</w:t>
      </w:r>
    </w:p>
    <w:p w14:paraId="3CF8E2DD" w14:textId="49D434C0" w:rsidR="004B1E53" w:rsidRDefault="004B1E53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Select </w:t>
      </w:r>
      <w:r w:rsidRPr="004B1E53">
        <w:rPr>
          <w:rFonts w:ascii="Arial" w:eastAsia="Times New Roman" w:hAnsi="Arial" w:cs="Arial"/>
        </w:rPr>
        <w:t>payment delivery method</w:t>
      </w:r>
    </w:p>
    <w:p w14:paraId="4F83E0D9" w14:textId="75C76232" w:rsidR="004B1E53" w:rsidRPr="004A2A62" w:rsidRDefault="004B1E53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Provide a rationale for the expenditure</w:t>
      </w:r>
    </w:p>
    <w:p w14:paraId="0B00888F" w14:textId="53893212" w:rsidR="00297756" w:rsidRPr="004A2A62" w:rsidRDefault="004A2A62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A2A62">
        <w:rPr>
          <w:rFonts w:ascii="Arial" w:eastAsia="Times New Roman" w:hAnsi="Arial" w:cs="Arial"/>
        </w:rPr>
        <w:t>Exclude FOAP information – the CSCE will fill this in for you</w:t>
      </w:r>
    </w:p>
    <w:p w14:paraId="2EE82988" w14:textId="3FE260B8" w:rsidR="004A2A62" w:rsidRPr="004A2A62" w:rsidRDefault="004A2A62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A2A62">
        <w:rPr>
          <w:rFonts w:ascii="Arial" w:eastAsia="Times New Roman" w:hAnsi="Arial" w:cs="Arial"/>
        </w:rPr>
        <w:t xml:space="preserve">Sign </w:t>
      </w:r>
    </w:p>
    <w:p w14:paraId="2EBCF8A7" w14:textId="77777777" w:rsidR="004A2A62" w:rsidRPr="004A2A62" w:rsidRDefault="004A2A62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A2A62">
        <w:rPr>
          <w:rFonts w:ascii="Arial" w:eastAsia="Times New Roman" w:hAnsi="Arial" w:cs="Arial"/>
        </w:rPr>
        <w:t>Provide copies of all receipts claimed</w:t>
      </w:r>
    </w:p>
    <w:p w14:paraId="6AA53C0C" w14:textId="338ACF83" w:rsidR="004A2A62" w:rsidRDefault="004A2A62" w:rsidP="004A2A62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Arial" w:eastAsia="Times New Roman" w:hAnsi="Arial" w:cs="Arial"/>
        </w:rPr>
      </w:pPr>
      <w:r w:rsidRPr="004A2A62">
        <w:rPr>
          <w:rFonts w:ascii="Arial" w:eastAsia="Times New Roman" w:hAnsi="Arial" w:cs="Arial"/>
        </w:rPr>
        <w:t>Emai</w:t>
      </w:r>
      <w:r w:rsidR="00BB07A0">
        <w:rPr>
          <w:rFonts w:ascii="Arial" w:eastAsia="Times New Roman" w:hAnsi="Arial" w:cs="Arial"/>
        </w:rPr>
        <w:t>l</w:t>
      </w:r>
      <w:r w:rsidRPr="004A2A62">
        <w:rPr>
          <w:rFonts w:ascii="Arial" w:eastAsia="Times New Roman" w:hAnsi="Arial" w:cs="Arial"/>
        </w:rPr>
        <w:t xml:space="preserve"> receipts and T&amp;E as a single pdf</w:t>
      </w:r>
      <w:r w:rsidR="00BB07A0">
        <w:rPr>
          <w:rFonts w:ascii="Arial" w:eastAsia="Times New Roman" w:hAnsi="Arial" w:cs="Arial"/>
        </w:rPr>
        <w:t xml:space="preserve"> to the CSCE </w:t>
      </w:r>
      <w:r w:rsidR="00BB07A0" w:rsidRPr="004A2A62">
        <w:rPr>
          <w:rFonts w:ascii="Arial" w:eastAsia="Times New Roman" w:hAnsi="Arial" w:cs="Arial"/>
          <w:lang w:bidi="en-US"/>
        </w:rPr>
        <w:t>(</w:t>
      </w:r>
      <w:hyperlink r:id="rId13" w:history="1">
        <w:r w:rsidR="00BB07A0" w:rsidRPr="004A2A62">
          <w:rPr>
            <w:rStyle w:val="Hyperlink"/>
            <w:rFonts w:ascii="Arial" w:eastAsia="Times New Roman" w:hAnsi="Arial" w:cs="Arial"/>
            <w:lang w:bidi="en-US"/>
          </w:rPr>
          <w:t>csce@gvsu.edu</w:t>
        </w:r>
      </w:hyperlink>
      <w:r w:rsidR="00BB07A0">
        <w:rPr>
          <w:rFonts w:ascii="Arial" w:eastAsia="Times New Roman" w:hAnsi="Arial" w:cs="Arial"/>
        </w:rPr>
        <w:t>)</w:t>
      </w:r>
    </w:p>
    <w:p w14:paraId="2F0D44C7" w14:textId="74B665C5" w:rsidR="004A2A62" w:rsidRPr="004A2A62" w:rsidRDefault="004A2A62" w:rsidP="004A2A62">
      <w:pPr>
        <w:spacing w:before="100" w:beforeAutospacing="1"/>
        <w:ind w:left="720"/>
        <w:rPr>
          <w:rFonts w:ascii="Arial" w:eastAsia="Times New Roman" w:hAnsi="Arial" w:cs="Arial"/>
          <w:lang w:bidi="en-US"/>
        </w:rPr>
      </w:pPr>
      <w:r w:rsidRPr="004A2A62">
        <w:rPr>
          <w:rFonts w:ascii="Arial" w:eastAsia="Times New Roman" w:hAnsi="Arial" w:cs="Arial"/>
          <w:lang w:bidi="en-US"/>
        </w:rPr>
        <w:t>Questions regarding the status of your PD reimbursement in the CSCE may be directed to Janet Potgeter (</w:t>
      </w:r>
      <w:hyperlink r:id="rId14" w:history="1">
        <w:r w:rsidRPr="004A2A62">
          <w:rPr>
            <w:rStyle w:val="Hyperlink"/>
            <w:rFonts w:ascii="Arial" w:eastAsia="Times New Roman" w:hAnsi="Arial" w:cs="Arial"/>
            <w:lang w:bidi="en-US"/>
          </w:rPr>
          <w:t>csce@gvsu.edu</w:t>
        </w:r>
      </w:hyperlink>
      <w:r w:rsidRPr="004A2A62">
        <w:rPr>
          <w:rFonts w:ascii="Arial" w:eastAsia="Times New Roman" w:hAnsi="Arial" w:cs="Arial"/>
          <w:lang w:bidi="en-US"/>
        </w:rPr>
        <w:t xml:space="preserve">). </w:t>
      </w:r>
    </w:p>
    <w:p w14:paraId="62AE3931" w14:textId="578544BC" w:rsidR="002D750B" w:rsidRPr="00C30CB7" w:rsidRDefault="002D750B" w:rsidP="002D750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i/>
        </w:rPr>
      </w:pPr>
      <w:r w:rsidRPr="00C30CB7">
        <w:rPr>
          <w:rFonts w:ascii="Arial" w:eastAsia="Times New Roman" w:hAnsi="Arial" w:cs="Arial"/>
          <w:b/>
          <w:i/>
        </w:rPr>
        <w:t>Tracking Expenses</w:t>
      </w:r>
    </w:p>
    <w:p w14:paraId="04DD3CA3" w14:textId="0ADE6D32" w:rsidR="00DB406A" w:rsidRPr="00C30CB7" w:rsidRDefault="00DB406A" w:rsidP="00DB406A">
      <w:pPr>
        <w:pStyle w:val="ListParagraph"/>
        <w:spacing w:before="100" w:beforeAutospacing="1" w:after="0" w:line="240" w:lineRule="auto"/>
        <w:rPr>
          <w:rFonts w:ascii="Arial" w:hAnsi="Arial" w:cs="Arial"/>
        </w:rPr>
      </w:pPr>
      <w:r w:rsidRPr="00C30CB7">
        <w:rPr>
          <w:rFonts w:ascii="Arial" w:hAnsi="Arial" w:cs="Arial"/>
        </w:rPr>
        <w:t xml:space="preserve">Faculty members are expected to track their expenses throughout the academic year to ensure proper planning. Faculty can </w:t>
      </w:r>
      <w:r w:rsidR="009A5084">
        <w:rPr>
          <w:rFonts w:ascii="Arial" w:hAnsi="Arial" w:cs="Arial"/>
        </w:rPr>
        <w:t xml:space="preserve">direct specific questions to CSCE </w:t>
      </w:r>
      <w:r w:rsidRPr="00C30CB7">
        <w:rPr>
          <w:rFonts w:ascii="Arial" w:hAnsi="Arial" w:cs="Arial"/>
        </w:rPr>
        <w:t xml:space="preserve">(Janet Potgeter - </w:t>
      </w:r>
      <w:hyperlink r:id="rId15" w:history="1">
        <w:r w:rsidR="00297756">
          <w:rPr>
            <w:rStyle w:val="Hyperlink"/>
            <w:rFonts w:ascii="Arial" w:hAnsi="Arial" w:cs="Arial"/>
          </w:rPr>
          <w:t>csce</w:t>
        </w:r>
        <w:r w:rsidR="00297756" w:rsidRPr="00C30CB7">
          <w:rPr>
            <w:rStyle w:val="Hyperlink"/>
            <w:rFonts w:ascii="Arial" w:hAnsi="Arial" w:cs="Arial"/>
          </w:rPr>
          <w:t>@gvsu.edu</w:t>
        </w:r>
      </w:hyperlink>
      <w:r w:rsidRPr="00C30CB7">
        <w:rPr>
          <w:rFonts w:ascii="Arial" w:hAnsi="Arial" w:cs="Arial"/>
        </w:rPr>
        <w:t>).</w:t>
      </w:r>
    </w:p>
    <w:p w14:paraId="6EC474F8" w14:textId="77777777" w:rsidR="00DB406A" w:rsidRPr="00C30CB7" w:rsidRDefault="00DB406A" w:rsidP="00DB406A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4D03B903" w14:textId="77777777" w:rsidR="00DB406A" w:rsidRPr="00C30CB7" w:rsidRDefault="00DB406A" w:rsidP="00DB406A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i/>
        </w:rPr>
      </w:pPr>
      <w:r w:rsidRPr="00C30CB7">
        <w:rPr>
          <w:rFonts w:ascii="Arial" w:eastAsia="Times New Roman" w:hAnsi="Arial" w:cs="Arial"/>
          <w:b/>
          <w:i/>
        </w:rPr>
        <w:t>The Fine Print</w:t>
      </w:r>
    </w:p>
    <w:p w14:paraId="4EA29FC7" w14:textId="77777777" w:rsidR="00DB406A" w:rsidRPr="00C30CB7" w:rsidRDefault="00DB406A" w:rsidP="00DB406A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6F2990D1" w14:textId="04485C65" w:rsidR="00DB406A" w:rsidRDefault="00DB406A" w:rsidP="00DB406A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  <w:r w:rsidRPr="00C30CB7">
        <w:rPr>
          <w:rFonts w:ascii="Arial" w:eastAsia="Times New Roman" w:hAnsi="Arial" w:cs="Arial"/>
        </w:rPr>
        <w:t xml:space="preserve">All activities and expenses to which funds are applied, as well as reimbursements and advances, must follow University policies. </w:t>
      </w:r>
    </w:p>
    <w:p w14:paraId="670D40BE" w14:textId="5829BA8A" w:rsidR="00833489" w:rsidRDefault="00833489" w:rsidP="00DB406A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40031A29" w14:textId="77777777" w:rsidR="00833489" w:rsidRPr="00C30CB7" w:rsidRDefault="00E41A55" w:rsidP="00833489">
      <w:pPr>
        <w:spacing w:before="100" w:beforeAutospacing="1" w:after="0" w:line="240" w:lineRule="auto"/>
        <w:ind w:left="720" w:firstLine="720"/>
        <w:rPr>
          <w:rFonts w:ascii="Arial" w:hAnsi="Arial" w:cs="Arial"/>
        </w:rPr>
      </w:pPr>
      <w:hyperlink r:id="rId16" w:history="1">
        <w:r w:rsidR="00833489" w:rsidRPr="00C30CB7">
          <w:rPr>
            <w:rStyle w:val="Hyperlink"/>
            <w:rFonts w:ascii="Arial" w:hAnsi="Arial" w:cs="Arial"/>
          </w:rPr>
          <w:t>Business and Finance Purchasing Procedures</w:t>
        </w:r>
      </w:hyperlink>
    </w:p>
    <w:p w14:paraId="520F6DE3" w14:textId="77777777" w:rsidR="00833489" w:rsidRPr="00C30CB7" w:rsidRDefault="00E41A55" w:rsidP="00833489">
      <w:pPr>
        <w:spacing w:before="100" w:beforeAutospacing="1" w:after="0" w:line="240" w:lineRule="auto"/>
        <w:ind w:left="720" w:firstLine="720"/>
        <w:rPr>
          <w:rFonts w:ascii="Arial" w:hAnsi="Arial" w:cs="Arial"/>
        </w:rPr>
      </w:pPr>
      <w:hyperlink r:id="rId17" w:history="1">
        <w:r w:rsidR="00833489" w:rsidRPr="00C30CB7">
          <w:rPr>
            <w:rStyle w:val="Hyperlink"/>
            <w:rFonts w:ascii="Arial" w:hAnsi="Arial" w:cs="Arial"/>
          </w:rPr>
          <w:t>Payment of Human Subject Participants</w:t>
        </w:r>
      </w:hyperlink>
    </w:p>
    <w:p w14:paraId="34F772E2" w14:textId="77777777" w:rsidR="00833489" w:rsidRPr="00C30CB7" w:rsidRDefault="00E41A55" w:rsidP="00833489">
      <w:pPr>
        <w:spacing w:before="100" w:beforeAutospacing="1" w:after="0" w:line="240" w:lineRule="auto"/>
        <w:ind w:left="720" w:firstLine="720"/>
        <w:rPr>
          <w:rFonts w:ascii="Arial" w:hAnsi="Arial" w:cs="Arial"/>
        </w:rPr>
      </w:pPr>
      <w:hyperlink r:id="rId18" w:history="1">
        <w:r w:rsidR="00833489" w:rsidRPr="00C30CB7">
          <w:rPr>
            <w:rStyle w:val="Hyperlink"/>
            <w:rFonts w:ascii="Arial" w:hAnsi="Arial" w:cs="Arial"/>
          </w:rPr>
          <w:t>Technology Supply Policy</w:t>
        </w:r>
      </w:hyperlink>
    </w:p>
    <w:p w14:paraId="13FF24A4" w14:textId="77777777" w:rsidR="00833489" w:rsidRPr="00C30CB7" w:rsidRDefault="00E41A55" w:rsidP="00833489">
      <w:pPr>
        <w:spacing w:before="100" w:beforeAutospacing="1" w:after="0" w:line="240" w:lineRule="auto"/>
        <w:ind w:left="720" w:firstLine="720"/>
        <w:rPr>
          <w:rFonts w:ascii="Arial" w:hAnsi="Arial" w:cs="Arial"/>
        </w:rPr>
      </w:pPr>
      <w:hyperlink r:id="rId19" w:history="1">
        <w:r w:rsidR="00833489" w:rsidRPr="00C30CB7">
          <w:rPr>
            <w:rStyle w:val="Hyperlink"/>
            <w:rFonts w:ascii="Arial" w:hAnsi="Arial" w:cs="Arial"/>
          </w:rPr>
          <w:t>Travel and Expense Reimbursement Process</w:t>
        </w:r>
      </w:hyperlink>
    </w:p>
    <w:p w14:paraId="3E2D6791" w14:textId="77777777" w:rsidR="00833489" w:rsidRPr="00C30CB7" w:rsidRDefault="00E41A55" w:rsidP="00833489">
      <w:pPr>
        <w:spacing w:before="100" w:beforeAutospacing="1" w:after="0" w:line="240" w:lineRule="auto"/>
        <w:ind w:left="720" w:firstLine="720"/>
        <w:rPr>
          <w:rFonts w:ascii="Arial" w:hAnsi="Arial" w:cs="Arial"/>
        </w:rPr>
      </w:pPr>
      <w:hyperlink r:id="rId20" w:history="1">
        <w:r w:rsidR="00833489" w:rsidRPr="00C30CB7">
          <w:rPr>
            <w:rStyle w:val="Hyperlink"/>
            <w:rFonts w:ascii="Arial" w:hAnsi="Arial" w:cs="Arial"/>
          </w:rPr>
          <w:t>Travel Advance Process</w:t>
        </w:r>
      </w:hyperlink>
    </w:p>
    <w:p w14:paraId="6EEB0428" w14:textId="77777777" w:rsidR="00833489" w:rsidRPr="00DB406A" w:rsidRDefault="00833489" w:rsidP="00833489">
      <w:pPr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0EF263B7" w14:textId="77777777" w:rsidR="00833489" w:rsidRPr="00C30CB7" w:rsidRDefault="00833489" w:rsidP="00DB406A">
      <w:pPr>
        <w:pStyle w:val="ListParagraph"/>
        <w:spacing w:before="100" w:beforeAutospacing="1" w:after="0" w:line="240" w:lineRule="auto"/>
        <w:rPr>
          <w:rFonts w:ascii="Arial" w:eastAsia="Times New Roman" w:hAnsi="Arial" w:cs="Arial"/>
        </w:rPr>
      </w:pPr>
    </w:p>
    <w:p w14:paraId="28B62802" w14:textId="77777777" w:rsidR="00DB406A" w:rsidRPr="00DB406A" w:rsidRDefault="00DB406A" w:rsidP="00DB406A">
      <w:pPr>
        <w:spacing w:before="100" w:beforeAutospacing="1" w:after="0" w:line="240" w:lineRule="auto"/>
        <w:ind w:left="720"/>
        <w:rPr>
          <w:rFonts w:ascii="Arial" w:eastAsia="Times New Roman" w:hAnsi="Arial" w:cs="Arial"/>
        </w:rPr>
      </w:pPr>
    </w:p>
    <w:sectPr w:rsidR="00DB406A" w:rsidRPr="00DB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C2A4A" w16cex:dateUtc="2020-07-29T21:03:00Z"/>
  <w16cex:commentExtensible w16cex:durableId="22CC29C2" w16cex:dateUtc="2020-07-29T21:00:00Z"/>
  <w16cex:commentExtensible w16cex:durableId="22CC2A32" w16cex:dateUtc="2020-07-29T21:0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EBDAD7"/>
    <w:multiLevelType w:val="hybridMultilevel"/>
    <w:tmpl w:val="3829EBB7"/>
    <w:lvl w:ilvl="0" w:tplc="FFFFFFFF">
      <w:start w:val="1"/>
      <w:numFmt w:val="ideographDigital"/>
      <w:lvlText w:val=""/>
      <w:lvlJc w:val="left"/>
    </w:lvl>
    <w:lvl w:ilvl="1" w:tplc="0FDA1AD9">
      <w:start w:val="1"/>
      <w:numFmt w:val="bullet"/>
      <w:lvlText w:val="•"/>
      <w:lvlJc w:val="left"/>
    </w:lvl>
    <w:lvl w:ilvl="2" w:tplc="7FA28BF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453130"/>
    <w:multiLevelType w:val="hybridMultilevel"/>
    <w:tmpl w:val="8CF61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276388"/>
    <w:multiLevelType w:val="multilevel"/>
    <w:tmpl w:val="58E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272BB"/>
    <w:multiLevelType w:val="multilevel"/>
    <w:tmpl w:val="7F9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23CF6"/>
    <w:multiLevelType w:val="multilevel"/>
    <w:tmpl w:val="F79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A9"/>
    <w:rsid w:val="0012360C"/>
    <w:rsid w:val="001D5A38"/>
    <w:rsid w:val="001E543C"/>
    <w:rsid w:val="001F400E"/>
    <w:rsid w:val="001F7374"/>
    <w:rsid w:val="00244794"/>
    <w:rsid w:val="00285CD2"/>
    <w:rsid w:val="0028711E"/>
    <w:rsid w:val="00297756"/>
    <w:rsid w:val="002C0544"/>
    <w:rsid w:val="002D750B"/>
    <w:rsid w:val="003355FC"/>
    <w:rsid w:val="00374557"/>
    <w:rsid w:val="003D50DC"/>
    <w:rsid w:val="003E3C65"/>
    <w:rsid w:val="00454D3E"/>
    <w:rsid w:val="00455F26"/>
    <w:rsid w:val="00497A80"/>
    <w:rsid w:val="004A2A62"/>
    <w:rsid w:val="004B1E53"/>
    <w:rsid w:val="004D4389"/>
    <w:rsid w:val="004D57D9"/>
    <w:rsid w:val="00670B29"/>
    <w:rsid w:val="006878A7"/>
    <w:rsid w:val="006A7ECA"/>
    <w:rsid w:val="0072738A"/>
    <w:rsid w:val="00745D84"/>
    <w:rsid w:val="00833489"/>
    <w:rsid w:val="00843705"/>
    <w:rsid w:val="0084532B"/>
    <w:rsid w:val="008530E2"/>
    <w:rsid w:val="008B6C97"/>
    <w:rsid w:val="00916289"/>
    <w:rsid w:val="00961F36"/>
    <w:rsid w:val="009A5084"/>
    <w:rsid w:val="009B6C16"/>
    <w:rsid w:val="009C61BB"/>
    <w:rsid w:val="009F2EFB"/>
    <w:rsid w:val="00A31816"/>
    <w:rsid w:val="00A553F3"/>
    <w:rsid w:val="00A6360F"/>
    <w:rsid w:val="00A644A7"/>
    <w:rsid w:val="00AA1956"/>
    <w:rsid w:val="00AB0C1B"/>
    <w:rsid w:val="00AF63A8"/>
    <w:rsid w:val="00B01601"/>
    <w:rsid w:val="00BB07A0"/>
    <w:rsid w:val="00C16B6A"/>
    <w:rsid w:val="00C30CB7"/>
    <w:rsid w:val="00C64C05"/>
    <w:rsid w:val="00C749E7"/>
    <w:rsid w:val="00CF09D3"/>
    <w:rsid w:val="00D07114"/>
    <w:rsid w:val="00D84A29"/>
    <w:rsid w:val="00DB406A"/>
    <w:rsid w:val="00DB7246"/>
    <w:rsid w:val="00DF60FB"/>
    <w:rsid w:val="00E2600F"/>
    <w:rsid w:val="00E41A55"/>
    <w:rsid w:val="00E51A6B"/>
    <w:rsid w:val="00E829A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390F"/>
  <w15:chartTrackingRefBased/>
  <w15:docId w15:val="{A9C8C249-C3ED-41B9-A943-F7F4E946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2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9A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829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50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2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28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6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7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750B"/>
    <w:pPr>
      <w:ind w:left="720"/>
      <w:contextualSpacing/>
    </w:pPr>
  </w:style>
  <w:style w:type="table" w:styleId="TableGrid">
    <w:name w:val="Table Grid"/>
    <w:basedOn w:val="TableNormal"/>
    <w:uiPriority w:val="39"/>
    <w:rsid w:val="002C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33489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3489"/>
    <w:rPr>
      <w:rFonts w:ascii="Gill Sans MT" w:eastAsia="Gill Sans MT" w:hAnsi="Gill Sans MT" w:cs="Gill Sans MT"/>
      <w:sz w:val="15"/>
      <w:szCs w:val="15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cms4/asset/8D573182-983E-4CEF-F0CCC1429FAFC6B8/304-purchasing_procedures.pdf" TargetMode="External"/><Relationship Id="rId13" Type="http://schemas.openxmlformats.org/officeDocument/2006/relationships/hyperlink" Target="mailto:potgetej@gvsu.edu" TargetMode="External"/><Relationship Id="rId18" Type="http://schemas.openxmlformats.org/officeDocument/2006/relationships/hyperlink" Target="https://www.gvsu.edu/it/it-technology-supply-office-160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vsu.edu/it/it-technology-supply-office-160.htm" TargetMode="External"/><Relationship Id="rId12" Type="http://schemas.openxmlformats.org/officeDocument/2006/relationships/hyperlink" Target="https://www.gvsu.edu/busfin/gvsu-travel-expense-reimbursement-32.htm" TargetMode="External"/><Relationship Id="rId17" Type="http://schemas.openxmlformats.org/officeDocument/2006/relationships/hyperlink" Target="https://www.gvsu.edu/cms4/asset/8D573182-983E-4CEF-F0CCC1429FAFC6B8/305_procedures__form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vsu.edu/cms4/asset/8D573182-983E-4CEF-F0CCC1429FAFC6B8/304-purchasing_procedures.pdf" TargetMode="External"/><Relationship Id="rId20" Type="http://schemas.openxmlformats.org/officeDocument/2006/relationships/hyperlink" Target="https://www.gvsu.edu/cms4/asset/8D573182-983E-4CEF-F0CCC1429FAFC6B8/311-travel_advance_request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vsu.edu/cms4/asset/8D573182-983E-4CEF-F0CCC1429FAFC6B8/311-travel_advance_request.pdf" TargetMode="External"/><Relationship Id="rId11" Type="http://schemas.openxmlformats.org/officeDocument/2006/relationships/hyperlink" Target="mailto:csce@gv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martr\Desktop\potgetej@gvsu.edu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www.gvsu.edu/csce/grants/" TargetMode="External"/><Relationship Id="rId19" Type="http://schemas.openxmlformats.org/officeDocument/2006/relationships/hyperlink" Target="https://www.gvsu.edu/busfin/gvsu-travel-expense-reimbursement-3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vsu.edu/cms4/asset/8D573182-983E-4CEF-F0CCC1429FAFC6B8/305_procedures__forms.pdf" TargetMode="External"/><Relationship Id="rId14" Type="http://schemas.openxmlformats.org/officeDocument/2006/relationships/hyperlink" Target="mailto:potgetej@gv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5FAB-6648-43A8-A3F2-EDFCF7BA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Smart</dc:creator>
  <cp:keywords/>
  <dc:description/>
  <cp:lastModifiedBy>Robert Smart</cp:lastModifiedBy>
  <cp:revision>3</cp:revision>
  <dcterms:created xsi:type="dcterms:W3CDTF">2020-08-11T18:32:00Z</dcterms:created>
  <dcterms:modified xsi:type="dcterms:W3CDTF">2020-08-11T19:10:00Z</dcterms:modified>
</cp:coreProperties>
</file>