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CBD5" w14:textId="49C239C8" w:rsidR="00BA1831" w:rsidRPr="00AA026A" w:rsidRDefault="00FC70AD" w:rsidP="00FC70AD">
      <w:pPr>
        <w:pStyle w:val="Heading1"/>
        <w:rPr>
          <w:rFonts w:ascii="Arial" w:hAnsi="Arial" w:cs="Arial"/>
          <w:color w:val="auto"/>
        </w:rPr>
      </w:pPr>
      <w:bookmarkStart w:id="0" w:name="_GoBack"/>
      <w:bookmarkEnd w:id="0"/>
      <w:r w:rsidRPr="00AA026A">
        <w:rPr>
          <w:rFonts w:ascii="Arial" w:hAnsi="Arial" w:cs="Arial"/>
          <w:color w:val="auto"/>
        </w:rPr>
        <w:t>CLAS Person</w:t>
      </w:r>
      <w:r w:rsidR="007740D2" w:rsidRPr="00AA026A">
        <w:rPr>
          <w:rFonts w:ascii="Arial" w:hAnsi="Arial" w:cs="Arial"/>
          <w:color w:val="auto"/>
        </w:rPr>
        <w:t>nel Committee Annual Report 2013-2014</w:t>
      </w:r>
    </w:p>
    <w:p w14:paraId="1AFA79A8" w14:textId="6CA8E0C9" w:rsidR="00AE4711" w:rsidRPr="00AA026A" w:rsidRDefault="00DF4EF7" w:rsidP="00AE4711">
      <w:pPr>
        <w:rPr>
          <w:sz w:val="20"/>
          <w:szCs w:val="20"/>
        </w:rPr>
      </w:pPr>
      <w:r w:rsidRPr="00AA026A">
        <w:rPr>
          <w:sz w:val="20"/>
          <w:szCs w:val="20"/>
        </w:rPr>
        <w:t>14</w:t>
      </w:r>
      <w:r w:rsidR="00860003" w:rsidRPr="00AA026A">
        <w:rPr>
          <w:sz w:val="20"/>
          <w:szCs w:val="20"/>
        </w:rPr>
        <w:t xml:space="preserve"> </w:t>
      </w:r>
      <w:r w:rsidR="0072512E" w:rsidRPr="00AA026A">
        <w:rPr>
          <w:sz w:val="20"/>
          <w:szCs w:val="20"/>
        </w:rPr>
        <w:t xml:space="preserve">March </w:t>
      </w:r>
      <w:r w:rsidRPr="00AA026A">
        <w:rPr>
          <w:sz w:val="20"/>
          <w:szCs w:val="20"/>
        </w:rPr>
        <w:t>2014</w:t>
      </w:r>
    </w:p>
    <w:p w14:paraId="1619DC41" w14:textId="77777777" w:rsidR="00610600" w:rsidRPr="00AA026A" w:rsidRDefault="00610600" w:rsidP="00610600">
      <w:pPr>
        <w:pStyle w:val="Heading3"/>
        <w:rPr>
          <w:rFonts w:ascii="Arial" w:hAnsi="Arial" w:cs="Arial"/>
          <w:sz w:val="20"/>
          <w:szCs w:val="20"/>
          <w:u w:val="single"/>
        </w:rPr>
      </w:pPr>
      <w:r w:rsidRPr="00AA026A">
        <w:rPr>
          <w:rFonts w:ascii="Arial" w:hAnsi="Arial" w:cs="Arial"/>
          <w:sz w:val="20"/>
          <w:szCs w:val="20"/>
          <w:u w:val="single"/>
        </w:rPr>
        <w:t>Activity this year</w:t>
      </w:r>
    </w:p>
    <w:p w14:paraId="79236242" w14:textId="212FFFF3" w:rsidR="00FC70AD" w:rsidRPr="00AA026A" w:rsidRDefault="00FC70AD" w:rsidP="00FC70AD">
      <w:pPr>
        <w:rPr>
          <w:sz w:val="20"/>
          <w:szCs w:val="20"/>
        </w:rPr>
      </w:pPr>
      <w:r w:rsidRPr="00AA026A">
        <w:rPr>
          <w:sz w:val="20"/>
          <w:szCs w:val="20"/>
        </w:rPr>
        <w:t xml:space="preserve">The CPC’s </w:t>
      </w:r>
      <w:r w:rsidR="00B1245A" w:rsidRPr="00AA026A">
        <w:rPr>
          <w:sz w:val="20"/>
          <w:szCs w:val="20"/>
        </w:rPr>
        <w:t>primary task</w:t>
      </w:r>
      <w:r w:rsidRPr="00AA026A">
        <w:rPr>
          <w:sz w:val="20"/>
          <w:szCs w:val="20"/>
        </w:rPr>
        <w:t xml:space="preserve"> is to </w:t>
      </w:r>
      <w:r w:rsidR="008C6CB6" w:rsidRPr="00AA026A">
        <w:rPr>
          <w:sz w:val="20"/>
          <w:szCs w:val="20"/>
        </w:rPr>
        <w:t xml:space="preserve">evaluate </w:t>
      </w:r>
      <w:r w:rsidRPr="00AA026A">
        <w:rPr>
          <w:sz w:val="20"/>
          <w:szCs w:val="20"/>
        </w:rPr>
        <w:t>faculty members</w:t>
      </w:r>
      <w:r w:rsidR="008C6CB6" w:rsidRPr="00AA026A">
        <w:rPr>
          <w:sz w:val="20"/>
          <w:szCs w:val="20"/>
        </w:rPr>
        <w:t>’</w:t>
      </w:r>
      <w:r w:rsidRPr="00AA026A">
        <w:rPr>
          <w:sz w:val="20"/>
          <w:szCs w:val="20"/>
        </w:rPr>
        <w:t xml:space="preserve"> </w:t>
      </w:r>
      <w:r w:rsidR="008C6CB6" w:rsidRPr="00AA026A">
        <w:rPr>
          <w:sz w:val="20"/>
          <w:szCs w:val="20"/>
        </w:rPr>
        <w:t>applications</w:t>
      </w:r>
      <w:r w:rsidRPr="00AA026A">
        <w:rPr>
          <w:sz w:val="20"/>
          <w:szCs w:val="20"/>
        </w:rPr>
        <w:t xml:space="preserve"> for contract r</w:t>
      </w:r>
      <w:r w:rsidR="008C6CB6" w:rsidRPr="00AA026A">
        <w:rPr>
          <w:sz w:val="20"/>
          <w:szCs w:val="20"/>
        </w:rPr>
        <w:t xml:space="preserve">enewal, tenure, and promotion, and </w:t>
      </w:r>
      <w:r w:rsidR="00392F1B" w:rsidRPr="00AA026A">
        <w:rPr>
          <w:sz w:val="20"/>
          <w:szCs w:val="20"/>
        </w:rPr>
        <w:t xml:space="preserve">to </w:t>
      </w:r>
      <w:r w:rsidR="008C6CB6" w:rsidRPr="00AA026A">
        <w:rPr>
          <w:sz w:val="20"/>
          <w:szCs w:val="20"/>
        </w:rPr>
        <w:t>recommend to the Dean an appropriate action for each.</w:t>
      </w:r>
    </w:p>
    <w:p w14:paraId="5D7D641A" w14:textId="6E1679AC" w:rsidR="008C6CB6" w:rsidRPr="00AA026A" w:rsidRDefault="002D3FE0" w:rsidP="00FC70AD">
      <w:pPr>
        <w:rPr>
          <w:sz w:val="20"/>
          <w:szCs w:val="20"/>
        </w:rPr>
      </w:pPr>
      <w:r w:rsidRPr="00AA026A">
        <w:rPr>
          <w:sz w:val="20"/>
          <w:szCs w:val="20"/>
        </w:rPr>
        <w:t>In</w:t>
      </w:r>
      <w:r w:rsidR="007740D2" w:rsidRPr="00AA026A">
        <w:rPr>
          <w:sz w:val="20"/>
          <w:szCs w:val="20"/>
        </w:rPr>
        <w:t xml:space="preserve"> 2013-2014</w:t>
      </w:r>
      <w:r w:rsidR="00BF372E" w:rsidRPr="00AA026A">
        <w:rPr>
          <w:sz w:val="20"/>
          <w:szCs w:val="20"/>
        </w:rPr>
        <w:t xml:space="preserve"> the CPC </w:t>
      </w:r>
      <w:r w:rsidR="007740D2" w:rsidRPr="00AA026A">
        <w:rPr>
          <w:sz w:val="20"/>
          <w:szCs w:val="20"/>
        </w:rPr>
        <w:t>reviewed</w:t>
      </w:r>
      <w:r w:rsidR="008610BE" w:rsidRPr="00AA026A">
        <w:rPr>
          <w:sz w:val="20"/>
          <w:szCs w:val="20"/>
        </w:rPr>
        <w:t xml:space="preserve"> </w:t>
      </w:r>
      <w:r w:rsidR="00DF4EF7" w:rsidRPr="00AA026A">
        <w:rPr>
          <w:sz w:val="20"/>
          <w:szCs w:val="20"/>
        </w:rPr>
        <w:t>24</w:t>
      </w:r>
      <w:r w:rsidR="007740D2" w:rsidRPr="00AA026A">
        <w:rPr>
          <w:sz w:val="20"/>
          <w:szCs w:val="20"/>
        </w:rPr>
        <w:t xml:space="preserve"> applications for contract renewal</w:t>
      </w:r>
      <w:r w:rsidR="008610BE" w:rsidRPr="00AA026A">
        <w:rPr>
          <w:sz w:val="20"/>
          <w:szCs w:val="20"/>
        </w:rPr>
        <w:t xml:space="preserve">, </w:t>
      </w:r>
      <w:r w:rsidR="00DF4EF7" w:rsidRPr="00AA026A">
        <w:rPr>
          <w:sz w:val="20"/>
          <w:szCs w:val="20"/>
        </w:rPr>
        <w:t>25</w:t>
      </w:r>
      <w:r w:rsidR="007740D2" w:rsidRPr="00AA026A">
        <w:rPr>
          <w:sz w:val="20"/>
          <w:szCs w:val="20"/>
        </w:rPr>
        <w:t xml:space="preserve"> for </w:t>
      </w:r>
      <w:r w:rsidR="00641F53" w:rsidRPr="00AA026A">
        <w:rPr>
          <w:sz w:val="20"/>
          <w:szCs w:val="20"/>
        </w:rPr>
        <w:t>tenure</w:t>
      </w:r>
      <w:r w:rsidR="007740D2" w:rsidRPr="00AA026A">
        <w:rPr>
          <w:sz w:val="20"/>
          <w:szCs w:val="20"/>
        </w:rPr>
        <w:t xml:space="preserve"> and</w:t>
      </w:r>
      <w:r w:rsidR="00DF4EF7" w:rsidRPr="00AA026A">
        <w:rPr>
          <w:sz w:val="20"/>
          <w:szCs w:val="20"/>
        </w:rPr>
        <w:t>/or</w:t>
      </w:r>
      <w:r w:rsidR="007740D2" w:rsidRPr="00AA026A">
        <w:rPr>
          <w:sz w:val="20"/>
          <w:szCs w:val="20"/>
        </w:rPr>
        <w:t xml:space="preserve"> </w:t>
      </w:r>
      <w:r w:rsidR="00C254AF" w:rsidRPr="00AA026A">
        <w:rPr>
          <w:sz w:val="20"/>
          <w:szCs w:val="20"/>
        </w:rPr>
        <w:t>promotion</w:t>
      </w:r>
      <w:r w:rsidR="00DF4EF7" w:rsidRPr="00AA026A">
        <w:rPr>
          <w:sz w:val="20"/>
          <w:szCs w:val="20"/>
        </w:rPr>
        <w:t xml:space="preserve"> to Associate Professor, and 27</w:t>
      </w:r>
      <w:r w:rsidR="007740D2" w:rsidRPr="00AA026A">
        <w:rPr>
          <w:sz w:val="20"/>
          <w:szCs w:val="20"/>
        </w:rPr>
        <w:t xml:space="preserve"> for promotion to Full P</w:t>
      </w:r>
      <w:r w:rsidR="008C6CB6" w:rsidRPr="00AA026A">
        <w:rPr>
          <w:sz w:val="20"/>
          <w:szCs w:val="20"/>
        </w:rPr>
        <w:t>rofesso</w:t>
      </w:r>
      <w:r w:rsidR="007740D2" w:rsidRPr="00AA026A">
        <w:rPr>
          <w:sz w:val="20"/>
          <w:szCs w:val="20"/>
        </w:rPr>
        <w:t>r, f</w:t>
      </w:r>
      <w:r w:rsidR="008610BE" w:rsidRPr="00AA026A">
        <w:rPr>
          <w:sz w:val="20"/>
          <w:szCs w:val="20"/>
        </w:rPr>
        <w:t xml:space="preserve">or a total of </w:t>
      </w:r>
      <w:r w:rsidR="00DF4EF7" w:rsidRPr="00AA026A">
        <w:rPr>
          <w:sz w:val="20"/>
          <w:szCs w:val="20"/>
        </w:rPr>
        <w:t>76</w:t>
      </w:r>
      <w:r w:rsidR="008C6CB6" w:rsidRPr="00AA026A">
        <w:rPr>
          <w:sz w:val="20"/>
          <w:szCs w:val="20"/>
        </w:rPr>
        <w:t>.</w:t>
      </w:r>
      <w:r w:rsidR="00B1245A" w:rsidRPr="00AA026A">
        <w:rPr>
          <w:sz w:val="20"/>
          <w:szCs w:val="20"/>
        </w:rPr>
        <w:t xml:space="preserve">   </w:t>
      </w:r>
    </w:p>
    <w:p w14:paraId="3C917E1B" w14:textId="5AFF5141" w:rsidR="007D73E8" w:rsidRPr="00AA026A" w:rsidRDefault="008C6CB6" w:rsidP="00E567B2">
      <w:pPr>
        <w:rPr>
          <w:sz w:val="20"/>
          <w:szCs w:val="20"/>
        </w:rPr>
      </w:pPr>
      <w:r w:rsidRPr="00AA026A">
        <w:rPr>
          <w:sz w:val="20"/>
          <w:szCs w:val="20"/>
        </w:rPr>
        <w:t xml:space="preserve">The Faculty Handbook </w:t>
      </w:r>
      <w:r w:rsidR="000A37C4" w:rsidRPr="00AA026A">
        <w:rPr>
          <w:sz w:val="20"/>
          <w:szCs w:val="20"/>
        </w:rPr>
        <w:t>indicates</w:t>
      </w:r>
      <w:r w:rsidR="00B1245A" w:rsidRPr="00AA026A">
        <w:rPr>
          <w:sz w:val="20"/>
          <w:szCs w:val="20"/>
        </w:rPr>
        <w:t xml:space="preserve"> that</w:t>
      </w:r>
      <w:r w:rsidRPr="00AA026A">
        <w:rPr>
          <w:sz w:val="20"/>
          <w:szCs w:val="20"/>
        </w:rPr>
        <w:t xml:space="preserve"> “the Committee will normally be expected to accept the recommendation of the unit</w:t>
      </w:r>
      <w:r w:rsidR="00ED4E34" w:rsidRPr="00AA026A">
        <w:rPr>
          <w:sz w:val="20"/>
          <w:szCs w:val="20"/>
        </w:rPr>
        <w:t>.”  Over th</w:t>
      </w:r>
      <w:r w:rsidR="00181785" w:rsidRPr="00AA026A">
        <w:rPr>
          <w:sz w:val="20"/>
          <w:szCs w:val="20"/>
        </w:rPr>
        <w:t>e past five</w:t>
      </w:r>
      <w:r w:rsidR="00ED4E34" w:rsidRPr="00AA026A">
        <w:rPr>
          <w:sz w:val="20"/>
          <w:szCs w:val="20"/>
        </w:rPr>
        <w:t xml:space="preserve"> years the “agreement rate”</w:t>
      </w:r>
      <w:r w:rsidR="00AE4711" w:rsidRPr="00AA026A">
        <w:rPr>
          <w:sz w:val="20"/>
          <w:szCs w:val="20"/>
        </w:rPr>
        <w:t xml:space="preserve"> has been above </w:t>
      </w:r>
      <w:r w:rsidR="00ED4E34" w:rsidRPr="00AA026A">
        <w:rPr>
          <w:sz w:val="20"/>
          <w:szCs w:val="20"/>
        </w:rPr>
        <w:t>90</w:t>
      </w:r>
      <w:r w:rsidR="00AE4711" w:rsidRPr="00AA026A">
        <w:rPr>
          <w:sz w:val="20"/>
          <w:szCs w:val="20"/>
        </w:rPr>
        <w:t xml:space="preserve">%; </w:t>
      </w:r>
      <w:r w:rsidR="007740D2" w:rsidRPr="00AA026A">
        <w:rPr>
          <w:sz w:val="20"/>
          <w:szCs w:val="20"/>
        </w:rPr>
        <w:t>so far this year</w:t>
      </w:r>
      <w:r w:rsidR="00BF372E" w:rsidRPr="00AA026A">
        <w:rPr>
          <w:sz w:val="20"/>
          <w:szCs w:val="20"/>
        </w:rPr>
        <w:t xml:space="preserve"> </w:t>
      </w:r>
      <w:r w:rsidR="00DF4EF7" w:rsidRPr="00AA026A">
        <w:rPr>
          <w:sz w:val="20"/>
          <w:szCs w:val="20"/>
        </w:rPr>
        <w:t xml:space="preserve">that rate has been </w:t>
      </w:r>
      <w:r w:rsidR="008E31E9" w:rsidRPr="00AA026A">
        <w:rPr>
          <w:sz w:val="20"/>
          <w:szCs w:val="20"/>
        </w:rPr>
        <w:t xml:space="preserve">about </w:t>
      </w:r>
      <w:r w:rsidR="00DF4EF7" w:rsidRPr="00AA026A">
        <w:rPr>
          <w:sz w:val="20"/>
          <w:szCs w:val="20"/>
        </w:rPr>
        <w:t>96</w:t>
      </w:r>
      <w:r w:rsidR="00B1245A" w:rsidRPr="00AA026A">
        <w:rPr>
          <w:sz w:val="20"/>
          <w:szCs w:val="20"/>
        </w:rPr>
        <w:t xml:space="preserve">%. </w:t>
      </w:r>
    </w:p>
    <w:p w14:paraId="4EA805D3" w14:textId="3E5E11E2" w:rsidR="00172646" w:rsidRPr="00AA026A" w:rsidRDefault="007740D2" w:rsidP="00860003">
      <w:pPr>
        <w:pStyle w:val="Heading3"/>
        <w:rPr>
          <w:rFonts w:ascii="Arial" w:hAnsi="Arial" w:cs="Arial"/>
          <w:sz w:val="20"/>
          <w:szCs w:val="20"/>
          <w:u w:val="single"/>
        </w:rPr>
      </w:pPr>
      <w:r w:rsidRPr="00AA026A">
        <w:rPr>
          <w:rFonts w:ascii="Arial" w:hAnsi="Arial" w:cs="Arial"/>
          <w:sz w:val="20"/>
          <w:szCs w:val="20"/>
          <w:u w:val="single"/>
        </w:rPr>
        <w:t>New</w:t>
      </w:r>
      <w:r w:rsidR="00181785" w:rsidRPr="00AA026A">
        <w:rPr>
          <w:rFonts w:ascii="Arial" w:hAnsi="Arial" w:cs="Arial"/>
          <w:sz w:val="20"/>
          <w:szCs w:val="20"/>
          <w:u w:val="single"/>
        </w:rPr>
        <w:t xml:space="preserve"> this year</w:t>
      </w:r>
    </w:p>
    <w:p w14:paraId="349FA355" w14:textId="7C30A0A4" w:rsidR="007D73E8" w:rsidRPr="00AA026A" w:rsidRDefault="00CE7027" w:rsidP="00E567B2">
      <w:pPr>
        <w:rPr>
          <w:sz w:val="20"/>
          <w:szCs w:val="20"/>
        </w:rPr>
      </w:pPr>
      <w:r w:rsidRPr="00AA026A">
        <w:rPr>
          <w:sz w:val="20"/>
          <w:szCs w:val="20"/>
        </w:rPr>
        <w:t xml:space="preserve">The CPC </w:t>
      </w:r>
      <w:r w:rsidR="00037F80" w:rsidRPr="00AA026A">
        <w:rPr>
          <w:sz w:val="20"/>
          <w:szCs w:val="20"/>
        </w:rPr>
        <w:t>is revising</w:t>
      </w:r>
      <w:r w:rsidRPr="00AA026A">
        <w:rPr>
          <w:sz w:val="20"/>
          <w:szCs w:val="20"/>
        </w:rPr>
        <w:t xml:space="preserve"> the “Recommendations for Dossiers” document on the CLAS website. The new version of the document will be available by </w:t>
      </w:r>
      <w:r w:rsidR="0045643E">
        <w:rPr>
          <w:sz w:val="20"/>
          <w:szCs w:val="20"/>
        </w:rPr>
        <w:t>the end of April</w:t>
      </w:r>
      <w:r w:rsidRPr="00AA026A">
        <w:rPr>
          <w:sz w:val="20"/>
          <w:szCs w:val="20"/>
        </w:rPr>
        <w:t xml:space="preserve">. It includes more detailed guidelines regarding content and organization of dossiers at all levels. Candidates </w:t>
      </w:r>
      <w:r w:rsidR="0045643E">
        <w:rPr>
          <w:sz w:val="20"/>
          <w:szCs w:val="20"/>
        </w:rPr>
        <w:t xml:space="preserve">at all levels </w:t>
      </w:r>
      <w:r w:rsidRPr="00AA026A">
        <w:rPr>
          <w:sz w:val="20"/>
          <w:szCs w:val="20"/>
        </w:rPr>
        <w:t xml:space="preserve">are encouraged to consult the new document early in the process of developing their personnel dossiers, and </w:t>
      </w:r>
      <w:r w:rsidR="00037F80" w:rsidRPr="00AA026A">
        <w:rPr>
          <w:sz w:val="20"/>
          <w:szCs w:val="20"/>
        </w:rPr>
        <w:t xml:space="preserve">are </w:t>
      </w:r>
      <w:r w:rsidRPr="00AA026A">
        <w:rPr>
          <w:sz w:val="20"/>
          <w:szCs w:val="20"/>
        </w:rPr>
        <w:t xml:space="preserve">encouraged to contact the CPC if any of the recommendations in the document are unclear. </w:t>
      </w:r>
    </w:p>
    <w:p w14:paraId="71B0C7E4" w14:textId="77777777" w:rsidR="00610600" w:rsidRPr="00AA026A" w:rsidRDefault="00610600" w:rsidP="00610600">
      <w:pPr>
        <w:pStyle w:val="Heading3"/>
        <w:rPr>
          <w:rFonts w:ascii="Arial" w:hAnsi="Arial" w:cs="Arial"/>
          <w:sz w:val="20"/>
          <w:szCs w:val="20"/>
          <w:u w:val="single"/>
        </w:rPr>
      </w:pPr>
      <w:r w:rsidRPr="00AA026A">
        <w:rPr>
          <w:rFonts w:ascii="Arial" w:hAnsi="Arial" w:cs="Arial"/>
          <w:sz w:val="20"/>
          <w:szCs w:val="20"/>
          <w:u w:val="single"/>
        </w:rPr>
        <w:t>Desiderata</w:t>
      </w:r>
    </w:p>
    <w:p w14:paraId="25F16818" w14:textId="16C193AE" w:rsidR="00B42D9C" w:rsidRPr="00AA026A" w:rsidRDefault="00EA1D9D" w:rsidP="00ED4E34">
      <w:pPr>
        <w:rPr>
          <w:sz w:val="20"/>
          <w:szCs w:val="20"/>
        </w:rPr>
      </w:pPr>
      <w:r w:rsidRPr="00AA026A">
        <w:rPr>
          <w:sz w:val="20"/>
          <w:szCs w:val="20"/>
        </w:rPr>
        <w:t xml:space="preserve">The CPC </w:t>
      </w:r>
      <w:r w:rsidR="00C15633" w:rsidRPr="00AA026A">
        <w:rPr>
          <w:sz w:val="20"/>
          <w:szCs w:val="20"/>
        </w:rPr>
        <w:t xml:space="preserve">prefers not to set </w:t>
      </w:r>
      <w:r w:rsidR="000E1BB1" w:rsidRPr="00AA026A">
        <w:rPr>
          <w:sz w:val="20"/>
          <w:szCs w:val="20"/>
        </w:rPr>
        <w:t xml:space="preserve">personnel </w:t>
      </w:r>
      <w:r w:rsidR="00C15633" w:rsidRPr="00AA026A">
        <w:rPr>
          <w:sz w:val="20"/>
          <w:szCs w:val="20"/>
        </w:rPr>
        <w:t xml:space="preserve">policy, </w:t>
      </w:r>
      <w:r w:rsidR="00547526" w:rsidRPr="00AA026A">
        <w:rPr>
          <w:sz w:val="20"/>
          <w:szCs w:val="20"/>
        </w:rPr>
        <w:t>an activity</w:t>
      </w:r>
      <w:r w:rsidR="00C15633" w:rsidRPr="00AA026A">
        <w:rPr>
          <w:sz w:val="20"/>
          <w:szCs w:val="20"/>
        </w:rPr>
        <w:t xml:space="preserve"> it regards as outside its charge</w:t>
      </w:r>
      <w:r w:rsidRPr="00AA026A">
        <w:rPr>
          <w:sz w:val="20"/>
          <w:szCs w:val="20"/>
        </w:rPr>
        <w:t xml:space="preserve">.  However, in cases where policies are nonexistent or unclear, the CPC effectively </w:t>
      </w:r>
      <w:r w:rsidR="000E1BB1" w:rsidRPr="00AA026A">
        <w:rPr>
          <w:sz w:val="20"/>
          <w:szCs w:val="20"/>
        </w:rPr>
        <w:t xml:space="preserve">does </w:t>
      </w:r>
      <w:proofErr w:type="gramStart"/>
      <w:r w:rsidR="00D24026">
        <w:rPr>
          <w:sz w:val="20"/>
          <w:szCs w:val="20"/>
        </w:rPr>
        <w:t>effect</w:t>
      </w:r>
      <w:proofErr w:type="gramEnd"/>
      <w:r w:rsidR="000E1BB1" w:rsidRPr="00AA026A">
        <w:rPr>
          <w:sz w:val="20"/>
          <w:szCs w:val="20"/>
        </w:rPr>
        <w:t xml:space="preserve"> </w:t>
      </w:r>
      <w:r w:rsidRPr="00AA026A">
        <w:rPr>
          <w:sz w:val="20"/>
          <w:szCs w:val="20"/>
        </w:rPr>
        <w:t>policy with its recommendations</w:t>
      </w:r>
      <w:r w:rsidR="00CB2974" w:rsidRPr="00AA026A">
        <w:rPr>
          <w:sz w:val="20"/>
          <w:szCs w:val="20"/>
        </w:rPr>
        <w:t xml:space="preserve"> whether it wants to or not</w:t>
      </w:r>
      <w:r w:rsidRPr="00AA026A">
        <w:rPr>
          <w:sz w:val="20"/>
          <w:szCs w:val="20"/>
        </w:rPr>
        <w:t xml:space="preserve">. We have identified </w:t>
      </w:r>
      <w:r w:rsidR="00547526" w:rsidRPr="00AA026A">
        <w:rPr>
          <w:sz w:val="20"/>
          <w:szCs w:val="20"/>
        </w:rPr>
        <w:t xml:space="preserve">a set of </w:t>
      </w:r>
      <w:r w:rsidR="00CB2974" w:rsidRPr="00AA026A">
        <w:rPr>
          <w:sz w:val="20"/>
          <w:szCs w:val="20"/>
        </w:rPr>
        <w:t>situations</w:t>
      </w:r>
      <w:r w:rsidRPr="00AA026A">
        <w:rPr>
          <w:sz w:val="20"/>
          <w:szCs w:val="20"/>
        </w:rPr>
        <w:t xml:space="preserve"> where </w:t>
      </w:r>
      <w:r w:rsidR="000E1BB1" w:rsidRPr="00AA026A">
        <w:rPr>
          <w:sz w:val="20"/>
          <w:szCs w:val="20"/>
        </w:rPr>
        <w:t xml:space="preserve">explicit </w:t>
      </w:r>
      <w:r w:rsidR="00C15633" w:rsidRPr="00AA026A">
        <w:rPr>
          <w:sz w:val="20"/>
          <w:szCs w:val="20"/>
        </w:rPr>
        <w:t xml:space="preserve">university and </w:t>
      </w:r>
      <w:r w:rsidRPr="00AA026A">
        <w:rPr>
          <w:sz w:val="20"/>
          <w:szCs w:val="20"/>
        </w:rPr>
        <w:t xml:space="preserve">college </w:t>
      </w:r>
      <w:r w:rsidR="00C15633" w:rsidRPr="00AA026A">
        <w:rPr>
          <w:sz w:val="20"/>
          <w:szCs w:val="20"/>
        </w:rPr>
        <w:t xml:space="preserve">policies are lacking. </w:t>
      </w:r>
      <w:r w:rsidRPr="00AA026A">
        <w:rPr>
          <w:sz w:val="20"/>
          <w:szCs w:val="20"/>
        </w:rPr>
        <w:t xml:space="preserve"> </w:t>
      </w:r>
      <w:r w:rsidR="004F6787" w:rsidRPr="00AA026A">
        <w:rPr>
          <w:sz w:val="20"/>
          <w:szCs w:val="20"/>
        </w:rPr>
        <w:t>W</w:t>
      </w:r>
      <w:r w:rsidR="00C15633" w:rsidRPr="00AA026A">
        <w:rPr>
          <w:sz w:val="20"/>
          <w:szCs w:val="20"/>
        </w:rPr>
        <w:t xml:space="preserve">ritten guidance, </w:t>
      </w:r>
      <w:r w:rsidRPr="00AA026A">
        <w:rPr>
          <w:sz w:val="20"/>
          <w:szCs w:val="20"/>
        </w:rPr>
        <w:t xml:space="preserve">either </w:t>
      </w:r>
      <w:r w:rsidR="00C15633" w:rsidRPr="00AA026A">
        <w:rPr>
          <w:sz w:val="20"/>
          <w:szCs w:val="20"/>
        </w:rPr>
        <w:t>in the form of explicit discussion</w:t>
      </w:r>
      <w:r w:rsidRPr="00AA026A">
        <w:rPr>
          <w:sz w:val="20"/>
          <w:szCs w:val="20"/>
        </w:rPr>
        <w:t xml:space="preserve"> in unit criteria or formal recommendat</w:t>
      </w:r>
      <w:r w:rsidR="004F6787" w:rsidRPr="00AA026A">
        <w:rPr>
          <w:sz w:val="20"/>
          <w:szCs w:val="20"/>
        </w:rPr>
        <w:t>ions from university governance, would be welcome.</w:t>
      </w:r>
    </w:p>
    <w:p w14:paraId="39333AB5" w14:textId="50ECB58C" w:rsidR="00850017" w:rsidRPr="00AA026A" w:rsidRDefault="00DB03AD" w:rsidP="00A250E4">
      <w:pPr>
        <w:pStyle w:val="ListParagraph"/>
        <w:numPr>
          <w:ilvl w:val="0"/>
          <w:numId w:val="1"/>
        </w:numPr>
        <w:rPr>
          <w:sz w:val="20"/>
          <w:szCs w:val="20"/>
        </w:rPr>
      </w:pPr>
      <w:r w:rsidRPr="00AA026A">
        <w:rPr>
          <w:sz w:val="20"/>
          <w:szCs w:val="20"/>
        </w:rPr>
        <w:t>Candidates applying for early tenure or promotion must, by university policy, exceed expectation in all categories of evaluation (i.e., teaching, scholarly and creative activity, service). Where unit criteria do not explicitly provide definitions of “exceptional” activity in all th</w:t>
      </w:r>
      <w:r w:rsidR="00E567B2" w:rsidRPr="00AA026A">
        <w:rPr>
          <w:sz w:val="20"/>
          <w:szCs w:val="20"/>
        </w:rPr>
        <w:t xml:space="preserve">ree areas, the CPC is forced to </w:t>
      </w:r>
      <w:r w:rsidR="00FD34DB" w:rsidRPr="00AA026A">
        <w:rPr>
          <w:sz w:val="20"/>
          <w:szCs w:val="20"/>
        </w:rPr>
        <w:t xml:space="preserve">rely upon its own definitions. We would welcome discipline-specific guidance in this area, either in unit criteria or in Unit Recommendation Reports. </w:t>
      </w:r>
    </w:p>
    <w:p w14:paraId="7D60115C" w14:textId="3A1FDF46" w:rsidR="00A250E4" w:rsidRPr="00AA026A" w:rsidRDefault="00547526" w:rsidP="00A250E4">
      <w:pPr>
        <w:pStyle w:val="ListParagraph"/>
        <w:numPr>
          <w:ilvl w:val="0"/>
          <w:numId w:val="1"/>
        </w:numPr>
        <w:rPr>
          <w:sz w:val="20"/>
          <w:szCs w:val="20"/>
        </w:rPr>
      </w:pPr>
      <w:r w:rsidRPr="00AA026A">
        <w:rPr>
          <w:sz w:val="20"/>
          <w:szCs w:val="20"/>
        </w:rPr>
        <w:t xml:space="preserve">We </w:t>
      </w:r>
      <w:r w:rsidR="00325BAC" w:rsidRPr="00AA026A">
        <w:rPr>
          <w:sz w:val="20"/>
          <w:szCs w:val="20"/>
        </w:rPr>
        <w:t>enc</w:t>
      </w:r>
      <w:r w:rsidR="00FD34DB" w:rsidRPr="00AA026A">
        <w:rPr>
          <w:sz w:val="20"/>
          <w:szCs w:val="20"/>
        </w:rPr>
        <w:t xml:space="preserve">ourage units to clearly explain </w:t>
      </w:r>
      <w:r w:rsidR="00325BAC" w:rsidRPr="00AA026A">
        <w:rPr>
          <w:sz w:val="20"/>
          <w:szCs w:val="20"/>
        </w:rPr>
        <w:t>any</w:t>
      </w:r>
      <w:r w:rsidR="000E1BB1" w:rsidRPr="00AA026A">
        <w:rPr>
          <w:sz w:val="20"/>
          <w:szCs w:val="20"/>
        </w:rPr>
        <w:t xml:space="preserve"> differences in </w:t>
      </w:r>
      <w:r w:rsidR="00325BAC" w:rsidRPr="00AA026A">
        <w:rPr>
          <w:sz w:val="20"/>
          <w:szCs w:val="20"/>
        </w:rPr>
        <w:t xml:space="preserve">unit </w:t>
      </w:r>
      <w:r w:rsidR="000E1BB1" w:rsidRPr="00AA026A">
        <w:rPr>
          <w:sz w:val="20"/>
          <w:szCs w:val="20"/>
        </w:rPr>
        <w:t>evaluation criter</w:t>
      </w:r>
      <w:r w:rsidR="00325BAC" w:rsidRPr="00AA026A">
        <w:rPr>
          <w:sz w:val="20"/>
          <w:szCs w:val="20"/>
        </w:rPr>
        <w:t>ia for tenure and for promotion to Associate Professor, if the unit does not regard these actions as linked.</w:t>
      </w:r>
    </w:p>
    <w:p w14:paraId="6B49BF54" w14:textId="28934EEC" w:rsidR="007D73E8" w:rsidRPr="00AA026A" w:rsidRDefault="00A250E4" w:rsidP="00AC231D">
      <w:pPr>
        <w:pStyle w:val="ListParagraph"/>
        <w:numPr>
          <w:ilvl w:val="0"/>
          <w:numId w:val="1"/>
        </w:numPr>
        <w:rPr>
          <w:sz w:val="20"/>
          <w:szCs w:val="20"/>
        </w:rPr>
      </w:pPr>
      <w:r w:rsidRPr="00AA026A">
        <w:rPr>
          <w:sz w:val="20"/>
          <w:szCs w:val="20"/>
        </w:rPr>
        <w:t>It is not always clear to what extent work done before a candidate arrives at GVSU may be used</w:t>
      </w:r>
      <w:r w:rsidR="00AE4711" w:rsidRPr="00AA026A">
        <w:rPr>
          <w:sz w:val="20"/>
          <w:szCs w:val="20"/>
        </w:rPr>
        <w:t xml:space="preserve"> to satisfy requirements for scholarship</w:t>
      </w:r>
      <w:r w:rsidRPr="00AA026A">
        <w:rPr>
          <w:sz w:val="20"/>
          <w:szCs w:val="20"/>
        </w:rPr>
        <w:t xml:space="preserve"> and </w:t>
      </w:r>
      <w:r w:rsidR="00AE4711" w:rsidRPr="00AA026A">
        <w:rPr>
          <w:sz w:val="20"/>
          <w:szCs w:val="20"/>
        </w:rPr>
        <w:t xml:space="preserve">professional </w:t>
      </w:r>
      <w:r w:rsidRPr="00AA026A">
        <w:rPr>
          <w:sz w:val="20"/>
          <w:szCs w:val="20"/>
        </w:rPr>
        <w:t xml:space="preserve">service.  This </w:t>
      </w:r>
      <w:r w:rsidR="00B94694" w:rsidRPr="00AA026A">
        <w:rPr>
          <w:sz w:val="20"/>
          <w:szCs w:val="20"/>
        </w:rPr>
        <w:t>policy lacuna</w:t>
      </w:r>
      <w:r w:rsidRPr="00AA026A">
        <w:rPr>
          <w:sz w:val="20"/>
          <w:szCs w:val="20"/>
        </w:rPr>
        <w:t xml:space="preserve"> is especially </w:t>
      </w:r>
      <w:r w:rsidR="00B94694" w:rsidRPr="00AA026A">
        <w:rPr>
          <w:sz w:val="20"/>
          <w:szCs w:val="20"/>
        </w:rPr>
        <w:t>challenging</w:t>
      </w:r>
      <w:r w:rsidR="00554D8E" w:rsidRPr="00AA026A">
        <w:rPr>
          <w:sz w:val="20"/>
          <w:szCs w:val="20"/>
        </w:rPr>
        <w:t xml:space="preserve"> </w:t>
      </w:r>
      <w:r w:rsidR="00B94694" w:rsidRPr="00AA026A">
        <w:rPr>
          <w:sz w:val="20"/>
          <w:szCs w:val="20"/>
        </w:rPr>
        <w:t>when evaluating</w:t>
      </w:r>
      <w:r w:rsidR="00554D8E" w:rsidRPr="00AA026A">
        <w:rPr>
          <w:sz w:val="20"/>
          <w:szCs w:val="20"/>
        </w:rPr>
        <w:t xml:space="preserve"> candidates who arrive</w:t>
      </w:r>
      <w:r w:rsidRPr="00AA026A">
        <w:rPr>
          <w:sz w:val="20"/>
          <w:szCs w:val="20"/>
        </w:rPr>
        <w:t xml:space="preserve"> </w:t>
      </w:r>
      <w:r w:rsidR="001A73F4" w:rsidRPr="00AA026A">
        <w:rPr>
          <w:sz w:val="20"/>
          <w:szCs w:val="20"/>
        </w:rPr>
        <w:t xml:space="preserve">with credit on the tenure clock. Should </w:t>
      </w:r>
      <w:r w:rsidRPr="00AA026A">
        <w:rPr>
          <w:sz w:val="20"/>
          <w:szCs w:val="20"/>
        </w:rPr>
        <w:t xml:space="preserve">a candidate who was granted credit toward tenure be permitted to use </w:t>
      </w:r>
      <w:r w:rsidR="003019D6">
        <w:rPr>
          <w:sz w:val="20"/>
          <w:szCs w:val="20"/>
        </w:rPr>
        <w:t>work done</w:t>
      </w:r>
      <w:r w:rsidRPr="00AA026A">
        <w:rPr>
          <w:sz w:val="20"/>
          <w:szCs w:val="20"/>
        </w:rPr>
        <w:t xml:space="preserve"> prior to arrival to argue </w:t>
      </w:r>
      <w:r w:rsidR="003019D6">
        <w:rPr>
          <w:sz w:val="20"/>
          <w:szCs w:val="20"/>
        </w:rPr>
        <w:t>that scholarship and service criteria have been met</w:t>
      </w:r>
      <w:r w:rsidRPr="00AA026A">
        <w:rPr>
          <w:sz w:val="20"/>
          <w:szCs w:val="20"/>
        </w:rPr>
        <w:t xml:space="preserve">?  </w:t>
      </w:r>
      <w:r w:rsidR="003019D6">
        <w:rPr>
          <w:sz w:val="20"/>
          <w:szCs w:val="20"/>
        </w:rPr>
        <w:t>Faculty opinion varies</w:t>
      </w:r>
      <w:r w:rsidR="00B94694" w:rsidRPr="00AA026A">
        <w:rPr>
          <w:sz w:val="20"/>
          <w:szCs w:val="20"/>
        </w:rPr>
        <w:t xml:space="preserve"> on this point. </w:t>
      </w:r>
      <w:r w:rsidR="00610600" w:rsidRPr="00AA026A">
        <w:rPr>
          <w:sz w:val="20"/>
          <w:szCs w:val="20"/>
        </w:rPr>
        <w:t xml:space="preserve">The question also arises when a candidate completes most of the work for a project as part of a dissertation or postdoctoral work, but makes </w:t>
      </w:r>
      <w:r w:rsidR="00B94694" w:rsidRPr="00AA026A">
        <w:rPr>
          <w:sz w:val="20"/>
          <w:szCs w:val="20"/>
        </w:rPr>
        <w:t>minor</w:t>
      </w:r>
      <w:r w:rsidR="00610600" w:rsidRPr="00AA026A">
        <w:rPr>
          <w:sz w:val="20"/>
          <w:szCs w:val="20"/>
        </w:rPr>
        <w:t xml:space="preserve"> changes after arriving at GVSU</w:t>
      </w:r>
      <w:r w:rsidR="00B94694" w:rsidRPr="00AA026A">
        <w:rPr>
          <w:sz w:val="20"/>
          <w:szCs w:val="20"/>
        </w:rPr>
        <w:t xml:space="preserve">, </w:t>
      </w:r>
      <w:r w:rsidR="004F6787" w:rsidRPr="00AA026A">
        <w:rPr>
          <w:sz w:val="20"/>
          <w:szCs w:val="20"/>
        </w:rPr>
        <w:t>as part of the publication process</w:t>
      </w:r>
      <w:r w:rsidR="00610600" w:rsidRPr="00AA026A">
        <w:rPr>
          <w:sz w:val="20"/>
          <w:szCs w:val="20"/>
        </w:rPr>
        <w:t xml:space="preserve">.  </w:t>
      </w:r>
      <w:r w:rsidR="007740D2" w:rsidRPr="00AA026A">
        <w:rPr>
          <w:sz w:val="20"/>
          <w:szCs w:val="20"/>
        </w:rPr>
        <w:t xml:space="preserve">Again, individual faculty opinion varies, and </w:t>
      </w:r>
      <w:r w:rsidR="00B94694" w:rsidRPr="00AA026A">
        <w:rPr>
          <w:sz w:val="20"/>
          <w:szCs w:val="20"/>
        </w:rPr>
        <w:t>standard</w:t>
      </w:r>
      <w:r w:rsidR="00610600" w:rsidRPr="00AA026A">
        <w:rPr>
          <w:sz w:val="20"/>
          <w:szCs w:val="20"/>
        </w:rPr>
        <w:t xml:space="preserve"> practice varies </w:t>
      </w:r>
      <w:r w:rsidR="007740D2" w:rsidRPr="00AA026A">
        <w:rPr>
          <w:sz w:val="20"/>
          <w:szCs w:val="20"/>
        </w:rPr>
        <w:t>across</w:t>
      </w:r>
      <w:r w:rsidR="00610600" w:rsidRPr="00AA026A">
        <w:rPr>
          <w:sz w:val="20"/>
          <w:szCs w:val="20"/>
        </w:rPr>
        <w:t xml:space="preserve"> disciplines, so the question might be addressed </w:t>
      </w:r>
      <w:r w:rsidR="00FD34DB" w:rsidRPr="00AA026A">
        <w:rPr>
          <w:sz w:val="20"/>
          <w:szCs w:val="20"/>
        </w:rPr>
        <w:t xml:space="preserve">more effectively in unit criteria </w:t>
      </w:r>
      <w:r w:rsidR="00610600" w:rsidRPr="00AA026A">
        <w:rPr>
          <w:sz w:val="20"/>
          <w:szCs w:val="20"/>
        </w:rPr>
        <w:t xml:space="preserve">than </w:t>
      </w:r>
      <w:r w:rsidR="00FD34DB" w:rsidRPr="00AA026A">
        <w:rPr>
          <w:sz w:val="20"/>
          <w:szCs w:val="20"/>
        </w:rPr>
        <w:t>by</w:t>
      </w:r>
      <w:r w:rsidR="00610600" w:rsidRPr="00AA026A">
        <w:rPr>
          <w:sz w:val="20"/>
          <w:szCs w:val="20"/>
        </w:rPr>
        <w:t xml:space="preserve"> university policy.  </w:t>
      </w:r>
      <w:r w:rsidR="007740D2" w:rsidRPr="00AA026A">
        <w:rPr>
          <w:sz w:val="20"/>
          <w:szCs w:val="20"/>
        </w:rPr>
        <w:t>T</w:t>
      </w:r>
      <w:r w:rsidR="003019D6">
        <w:rPr>
          <w:sz w:val="20"/>
          <w:szCs w:val="20"/>
        </w:rPr>
        <w:t>he CPC sees a need for clear</w:t>
      </w:r>
      <w:r w:rsidR="00610600" w:rsidRPr="00AA026A">
        <w:rPr>
          <w:sz w:val="20"/>
          <w:szCs w:val="20"/>
        </w:rPr>
        <w:t xml:space="preserve"> guidance for both candidates and evaluators</w:t>
      </w:r>
      <w:r w:rsidR="00FD34DB" w:rsidRPr="00AA026A">
        <w:rPr>
          <w:sz w:val="20"/>
          <w:szCs w:val="20"/>
        </w:rPr>
        <w:t xml:space="preserve"> in this area</w:t>
      </w:r>
      <w:r w:rsidR="00610600" w:rsidRPr="00AA026A">
        <w:rPr>
          <w:sz w:val="20"/>
          <w:szCs w:val="20"/>
        </w:rPr>
        <w:t>.</w:t>
      </w:r>
    </w:p>
    <w:p w14:paraId="7862B8DF" w14:textId="77777777" w:rsidR="00AC231D" w:rsidRPr="00AA026A" w:rsidRDefault="00AC231D" w:rsidP="00AC231D">
      <w:pPr>
        <w:pStyle w:val="Heading3"/>
        <w:rPr>
          <w:rFonts w:ascii="Arial" w:hAnsi="Arial" w:cs="Arial"/>
          <w:sz w:val="20"/>
          <w:szCs w:val="20"/>
          <w:u w:val="single"/>
        </w:rPr>
      </w:pPr>
      <w:r w:rsidRPr="00AA026A">
        <w:rPr>
          <w:rFonts w:ascii="Arial" w:hAnsi="Arial" w:cs="Arial"/>
          <w:sz w:val="20"/>
          <w:szCs w:val="20"/>
          <w:u w:val="single"/>
        </w:rPr>
        <w:lastRenderedPageBreak/>
        <w:t>Recommendations to units</w:t>
      </w:r>
    </w:p>
    <w:p w14:paraId="7E5B350D" w14:textId="6F824A93" w:rsidR="00134418" w:rsidRPr="00AA026A" w:rsidRDefault="00134418" w:rsidP="00AC231D">
      <w:pPr>
        <w:rPr>
          <w:sz w:val="20"/>
          <w:szCs w:val="20"/>
        </w:rPr>
      </w:pPr>
      <w:r w:rsidRPr="00AA026A">
        <w:rPr>
          <w:sz w:val="20"/>
          <w:szCs w:val="20"/>
        </w:rPr>
        <w:t xml:space="preserve">Service on the CPC requires </w:t>
      </w:r>
      <w:r w:rsidR="009A6321" w:rsidRPr="00AA026A">
        <w:rPr>
          <w:sz w:val="20"/>
          <w:szCs w:val="20"/>
        </w:rPr>
        <w:t xml:space="preserve">intensive work over </w:t>
      </w:r>
      <w:r w:rsidR="004F6787" w:rsidRPr="00AA026A">
        <w:rPr>
          <w:sz w:val="20"/>
          <w:szCs w:val="20"/>
        </w:rPr>
        <w:t>portions of both the fall and winter semesters</w:t>
      </w:r>
      <w:r w:rsidR="009A6321" w:rsidRPr="00AA026A">
        <w:rPr>
          <w:sz w:val="20"/>
          <w:szCs w:val="20"/>
        </w:rPr>
        <w:t>.  Most committee</w:t>
      </w:r>
      <w:r w:rsidR="007740D2" w:rsidRPr="00AA026A">
        <w:rPr>
          <w:sz w:val="20"/>
          <w:szCs w:val="20"/>
        </w:rPr>
        <w:t xml:space="preserve"> members spend between 12 and 15</w:t>
      </w:r>
      <w:r w:rsidR="009A6321" w:rsidRPr="00AA026A">
        <w:rPr>
          <w:sz w:val="20"/>
          <w:szCs w:val="20"/>
        </w:rPr>
        <w:t xml:space="preserve"> hours per week </w:t>
      </w:r>
      <w:r w:rsidR="00C06413" w:rsidRPr="00AA026A">
        <w:rPr>
          <w:sz w:val="20"/>
          <w:szCs w:val="20"/>
        </w:rPr>
        <w:t>on CPC work</w:t>
      </w:r>
      <w:r w:rsidR="00C254AF" w:rsidRPr="00AA026A">
        <w:rPr>
          <w:sz w:val="20"/>
          <w:szCs w:val="20"/>
        </w:rPr>
        <w:t xml:space="preserve"> from week 6</w:t>
      </w:r>
      <w:r w:rsidR="009A6321" w:rsidRPr="00AA026A">
        <w:rPr>
          <w:sz w:val="20"/>
          <w:szCs w:val="20"/>
        </w:rPr>
        <w:t xml:space="preserve"> through</w:t>
      </w:r>
      <w:r w:rsidR="002E6865" w:rsidRPr="00AA026A">
        <w:rPr>
          <w:sz w:val="20"/>
          <w:szCs w:val="20"/>
        </w:rPr>
        <w:t xml:space="preserve"> week 11</w:t>
      </w:r>
      <w:r w:rsidR="00C254AF" w:rsidRPr="00AA026A">
        <w:rPr>
          <w:sz w:val="20"/>
          <w:szCs w:val="20"/>
        </w:rPr>
        <w:t xml:space="preserve"> of the winter semester, and for </w:t>
      </w:r>
      <w:r w:rsidR="000411AD" w:rsidRPr="00AA026A">
        <w:rPr>
          <w:sz w:val="20"/>
          <w:szCs w:val="20"/>
        </w:rPr>
        <w:t>three</w:t>
      </w:r>
      <w:r w:rsidR="00C254AF" w:rsidRPr="00AA026A">
        <w:rPr>
          <w:sz w:val="20"/>
          <w:szCs w:val="20"/>
        </w:rPr>
        <w:t xml:space="preserve"> </w:t>
      </w:r>
      <w:r w:rsidR="007740D2" w:rsidRPr="00AA026A">
        <w:rPr>
          <w:sz w:val="20"/>
          <w:szCs w:val="20"/>
        </w:rPr>
        <w:t xml:space="preserve">to four </w:t>
      </w:r>
      <w:r w:rsidR="00C254AF" w:rsidRPr="00AA026A">
        <w:rPr>
          <w:sz w:val="20"/>
          <w:szCs w:val="20"/>
        </w:rPr>
        <w:t xml:space="preserve">weeks of </w:t>
      </w:r>
      <w:r w:rsidR="004F6787" w:rsidRPr="00AA026A">
        <w:rPr>
          <w:sz w:val="20"/>
          <w:szCs w:val="20"/>
        </w:rPr>
        <w:t xml:space="preserve">the </w:t>
      </w:r>
      <w:r w:rsidR="00C254AF" w:rsidRPr="00AA026A">
        <w:rPr>
          <w:sz w:val="20"/>
          <w:szCs w:val="20"/>
        </w:rPr>
        <w:t>fall semester.</w:t>
      </w:r>
      <w:r w:rsidR="000411AD" w:rsidRPr="00AA026A">
        <w:rPr>
          <w:sz w:val="20"/>
          <w:szCs w:val="20"/>
        </w:rPr>
        <w:t xml:space="preserve">  We feel i</w:t>
      </w:r>
      <w:r w:rsidR="009A6321" w:rsidRPr="00AA026A">
        <w:rPr>
          <w:sz w:val="20"/>
          <w:szCs w:val="20"/>
        </w:rPr>
        <w:t xml:space="preserve">t is appropriate to recognize CPC members’ efforts as part or all of their “significant focus beyond baseline expectations” for </w:t>
      </w:r>
      <w:r w:rsidR="004F6787" w:rsidRPr="00AA026A">
        <w:rPr>
          <w:sz w:val="20"/>
          <w:szCs w:val="20"/>
        </w:rPr>
        <w:t xml:space="preserve">the </w:t>
      </w:r>
      <w:r w:rsidR="009A6321" w:rsidRPr="00AA026A">
        <w:rPr>
          <w:sz w:val="20"/>
          <w:szCs w:val="20"/>
        </w:rPr>
        <w:t>winter semester.</w:t>
      </w:r>
    </w:p>
    <w:p w14:paraId="0C0F1F40" w14:textId="1D0AFBB2" w:rsidR="002C2105" w:rsidRPr="00AA026A" w:rsidRDefault="002C2105" w:rsidP="00AC231D">
      <w:pPr>
        <w:rPr>
          <w:sz w:val="20"/>
          <w:szCs w:val="20"/>
        </w:rPr>
      </w:pPr>
      <w:r w:rsidRPr="00AA026A">
        <w:rPr>
          <w:sz w:val="20"/>
          <w:szCs w:val="20"/>
        </w:rPr>
        <w:t>We continue to encourage units that have not had recent representation on t</w:t>
      </w:r>
      <w:r w:rsidR="00547526" w:rsidRPr="00AA026A">
        <w:rPr>
          <w:sz w:val="20"/>
          <w:szCs w:val="20"/>
        </w:rPr>
        <w:t>he CPC to nominate candidates, as we value breadth of perspective and the opportunity to learn from</w:t>
      </w:r>
      <w:r w:rsidR="002378BF" w:rsidRPr="00AA026A">
        <w:rPr>
          <w:sz w:val="20"/>
          <w:szCs w:val="20"/>
        </w:rPr>
        <w:t xml:space="preserve"> all</w:t>
      </w:r>
      <w:r w:rsidR="00547526" w:rsidRPr="00AA026A">
        <w:rPr>
          <w:sz w:val="20"/>
          <w:szCs w:val="20"/>
        </w:rPr>
        <w:t xml:space="preserve"> units</w:t>
      </w:r>
      <w:r w:rsidR="004F6787" w:rsidRPr="00AA026A">
        <w:rPr>
          <w:sz w:val="20"/>
          <w:szCs w:val="20"/>
        </w:rPr>
        <w:t>.</w:t>
      </w:r>
      <w:r w:rsidR="00547526" w:rsidRPr="00AA026A">
        <w:rPr>
          <w:sz w:val="20"/>
          <w:szCs w:val="20"/>
        </w:rPr>
        <w:t xml:space="preserve"> </w:t>
      </w:r>
    </w:p>
    <w:p w14:paraId="073DF65A" w14:textId="77777777" w:rsidR="007D73E8" w:rsidRPr="00AA026A" w:rsidRDefault="007D73E8" w:rsidP="009A6321">
      <w:pPr>
        <w:pStyle w:val="Heading3"/>
        <w:rPr>
          <w:sz w:val="20"/>
          <w:szCs w:val="20"/>
          <w:u w:val="single"/>
        </w:rPr>
      </w:pPr>
    </w:p>
    <w:p w14:paraId="3B2E808A" w14:textId="77777777" w:rsidR="009A6321" w:rsidRPr="00AA026A" w:rsidRDefault="009A6321" w:rsidP="009A6321">
      <w:pPr>
        <w:pStyle w:val="Heading3"/>
        <w:rPr>
          <w:rFonts w:ascii="Arial" w:hAnsi="Arial" w:cs="Arial"/>
          <w:sz w:val="20"/>
          <w:szCs w:val="20"/>
          <w:u w:val="single"/>
        </w:rPr>
      </w:pPr>
      <w:r w:rsidRPr="00AA026A">
        <w:rPr>
          <w:rFonts w:ascii="Arial" w:hAnsi="Arial" w:cs="Arial"/>
          <w:sz w:val="20"/>
          <w:szCs w:val="20"/>
          <w:u w:val="single"/>
        </w:rPr>
        <w:t>Acknowledgements</w:t>
      </w:r>
    </w:p>
    <w:p w14:paraId="02060102" w14:textId="014C48DC" w:rsidR="00B26CA8" w:rsidRPr="00CF5ED6" w:rsidRDefault="00B26CA8" w:rsidP="009A6321">
      <w:pPr>
        <w:rPr>
          <w:rFonts w:ascii="Arial" w:hAnsi="Arial" w:cs="Arial"/>
          <w:sz w:val="20"/>
          <w:szCs w:val="20"/>
        </w:rPr>
      </w:pPr>
      <w:r w:rsidRPr="00AA026A">
        <w:rPr>
          <w:sz w:val="20"/>
          <w:szCs w:val="20"/>
        </w:rPr>
        <w:t xml:space="preserve">The committee members this year </w:t>
      </w:r>
      <w:r w:rsidR="000411AD" w:rsidRPr="00AA026A">
        <w:rPr>
          <w:sz w:val="20"/>
          <w:szCs w:val="20"/>
        </w:rPr>
        <w:t xml:space="preserve">were: </w:t>
      </w:r>
      <w:r w:rsidRPr="00AA026A">
        <w:rPr>
          <w:sz w:val="20"/>
          <w:szCs w:val="20"/>
        </w:rPr>
        <w:t xml:space="preserve"> </w:t>
      </w:r>
    </w:p>
    <w:p w14:paraId="3B615928" w14:textId="77777777" w:rsidR="00AE4711" w:rsidRPr="00AA026A" w:rsidRDefault="00C254AF" w:rsidP="00B26CA8">
      <w:pPr>
        <w:pStyle w:val="ListParagraph"/>
        <w:numPr>
          <w:ilvl w:val="0"/>
          <w:numId w:val="2"/>
        </w:numPr>
        <w:rPr>
          <w:sz w:val="20"/>
          <w:szCs w:val="20"/>
        </w:rPr>
      </w:pPr>
      <w:r w:rsidRPr="00AA026A">
        <w:rPr>
          <w:sz w:val="20"/>
          <w:szCs w:val="20"/>
        </w:rPr>
        <w:t>Donovan Anderson (MLL</w:t>
      </w:r>
      <w:r w:rsidR="00AE4711" w:rsidRPr="00AA026A">
        <w:rPr>
          <w:sz w:val="20"/>
          <w:szCs w:val="20"/>
        </w:rPr>
        <w:t>)</w:t>
      </w:r>
    </w:p>
    <w:p w14:paraId="78E80C13" w14:textId="792439D2" w:rsidR="000411AD" w:rsidRPr="00AA026A" w:rsidRDefault="000411AD" w:rsidP="00B26CA8">
      <w:pPr>
        <w:pStyle w:val="ListParagraph"/>
        <w:numPr>
          <w:ilvl w:val="0"/>
          <w:numId w:val="2"/>
        </w:numPr>
        <w:rPr>
          <w:sz w:val="20"/>
          <w:szCs w:val="20"/>
        </w:rPr>
      </w:pPr>
      <w:r w:rsidRPr="00AA026A">
        <w:rPr>
          <w:sz w:val="20"/>
          <w:szCs w:val="20"/>
        </w:rPr>
        <w:t>Jason Crouthamel (HST)</w:t>
      </w:r>
    </w:p>
    <w:p w14:paraId="59A488E3" w14:textId="18245691" w:rsidR="000411AD" w:rsidRPr="00AA026A" w:rsidRDefault="000411AD" w:rsidP="00B26CA8">
      <w:pPr>
        <w:pStyle w:val="ListParagraph"/>
        <w:numPr>
          <w:ilvl w:val="0"/>
          <w:numId w:val="2"/>
        </w:numPr>
        <w:rPr>
          <w:sz w:val="20"/>
          <w:szCs w:val="20"/>
        </w:rPr>
      </w:pPr>
      <w:r w:rsidRPr="00AA026A">
        <w:rPr>
          <w:sz w:val="20"/>
          <w:szCs w:val="20"/>
        </w:rPr>
        <w:t>Tim Fisher (ART)</w:t>
      </w:r>
    </w:p>
    <w:p w14:paraId="231A3AF7" w14:textId="61C7D40C" w:rsidR="00B26CA8" w:rsidRPr="00AA026A" w:rsidRDefault="007740D2" w:rsidP="00B26CA8">
      <w:pPr>
        <w:pStyle w:val="ListParagraph"/>
        <w:numPr>
          <w:ilvl w:val="0"/>
          <w:numId w:val="2"/>
        </w:numPr>
        <w:rPr>
          <w:sz w:val="20"/>
          <w:szCs w:val="20"/>
        </w:rPr>
      </w:pPr>
      <w:r w:rsidRPr="00AA026A">
        <w:rPr>
          <w:sz w:val="20"/>
          <w:szCs w:val="20"/>
        </w:rPr>
        <w:t>Chris Haven (WRT)</w:t>
      </w:r>
    </w:p>
    <w:p w14:paraId="63E5A244" w14:textId="7B8EEAFC" w:rsidR="007740D2" w:rsidRPr="00AA026A" w:rsidRDefault="007740D2" w:rsidP="00B26CA8">
      <w:pPr>
        <w:pStyle w:val="ListParagraph"/>
        <w:numPr>
          <w:ilvl w:val="0"/>
          <w:numId w:val="2"/>
        </w:numPr>
        <w:rPr>
          <w:sz w:val="20"/>
          <w:szCs w:val="20"/>
        </w:rPr>
      </w:pPr>
      <w:r w:rsidRPr="00AA026A">
        <w:rPr>
          <w:sz w:val="20"/>
          <w:szCs w:val="20"/>
        </w:rPr>
        <w:t>Steven Hecht (BMS)</w:t>
      </w:r>
    </w:p>
    <w:p w14:paraId="77F5FCFF" w14:textId="32F7CDA1" w:rsidR="000411AD" w:rsidRPr="00AA026A" w:rsidRDefault="000411AD" w:rsidP="00B26CA8">
      <w:pPr>
        <w:pStyle w:val="ListParagraph"/>
        <w:numPr>
          <w:ilvl w:val="0"/>
          <w:numId w:val="2"/>
        </w:numPr>
        <w:rPr>
          <w:sz w:val="20"/>
          <w:szCs w:val="20"/>
        </w:rPr>
      </w:pPr>
      <w:r w:rsidRPr="00AA026A">
        <w:rPr>
          <w:sz w:val="20"/>
          <w:szCs w:val="20"/>
        </w:rPr>
        <w:t>Pablo Mahave-Veglia (MUS)</w:t>
      </w:r>
    </w:p>
    <w:p w14:paraId="133B7F73" w14:textId="7DCB367B" w:rsidR="00C254AF" w:rsidRPr="00AA026A" w:rsidRDefault="00B26CA8" w:rsidP="00C254AF">
      <w:pPr>
        <w:pStyle w:val="ListParagraph"/>
        <w:numPr>
          <w:ilvl w:val="0"/>
          <w:numId w:val="2"/>
        </w:numPr>
        <w:rPr>
          <w:sz w:val="20"/>
          <w:szCs w:val="20"/>
        </w:rPr>
      </w:pPr>
      <w:r w:rsidRPr="00AA026A">
        <w:rPr>
          <w:sz w:val="20"/>
          <w:szCs w:val="20"/>
        </w:rPr>
        <w:t>Melissa Morison (CLA</w:t>
      </w:r>
      <w:r w:rsidR="000411AD" w:rsidRPr="00AA026A">
        <w:rPr>
          <w:sz w:val="20"/>
          <w:szCs w:val="20"/>
        </w:rPr>
        <w:t>, chair</w:t>
      </w:r>
      <w:r w:rsidRPr="00AA026A">
        <w:rPr>
          <w:sz w:val="20"/>
          <w:szCs w:val="20"/>
        </w:rPr>
        <w:t>)</w:t>
      </w:r>
    </w:p>
    <w:p w14:paraId="280F6275" w14:textId="7140E616" w:rsidR="007740D2" w:rsidRPr="00AA026A" w:rsidRDefault="007740D2" w:rsidP="00C254AF">
      <w:pPr>
        <w:pStyle w:val="ListParagraph"/>
        <w:numPr>
          <w:ilvl w:val="0"/>
          <w:numId w:val="2"/>
        </w:numPr>
        <w:rPr>
          <w:sz w:val="20"/>
          <w:szCs w:val="20"/>
        </w:rPr>
      </w:pPr>
      <w:r w:rsidRPr="00AA026A">
        <w:rPr>
          <w:sz w:val="20"/>
          <w:szCs w:val="20"/>
        </w:rPr>
        <w:t>Alex Nikitin (BIO)</w:t>
      </w:r>
    </w:p>
    <w:p w14:paraId="6C952043" w14:textId="77777777" w:rsidR="00C254AF" w:rsidRPr="00AA026A" w:rsidRDefault="00C254AF" w:rsidP="00C254AF">
      <w:pPr>
        <w:pStyle w:val="ListParagraph"/>
        <w:numPr>
          <w:ilvl w:val="0"/>
          <w:numId w:val="2"/>
        </w:numPr>
        <w:rPr>
          <w:sz w:val="20"/>
          <w:szCs w:val="20"/>
        </w:rPr>
      </w:pPr>
      <w:r w:rsidRPr="00AA026A">
        <w:rPr>
          <w:sz w:val="20"/>
          <w:szCs w:val="20"/>
        </w:rPr>
        <w:t>Michael Ott (SOC)</w:t>
      </w:r>
    </w:p>
    <w:p w14:paraId="3003A11A" w14:textId="0C92DA89" w:rsidR="00AE4711" w:rsidRPr="00AA026A" w:rsidRDefault="00D24026" w:rsidP="00B26CA8">
      <w:pPr>
        <w:pStyle w:val="ListParagraph"/>
        <w:numPr>
          <w:ilvl w:val="0"/>
          <w:numId w:val="2"/>
        </w:numPr>
        <w:rPr>
          <w:sz w:val="20"/>
          <w:szCs w:val="20"/>
        </w:rPr>
      </w:pPr>
      <w:r>
        <w:rPr>
          <w:sz w:val="20"/>
          <w:szCs w:val="20"/>
        </w:rPr>
        <w:t>Rick</w:t>
      </w:r>
      <w:r w:rsidR="00C254AF" w:rsidRPr="00AA026A">
        <w:rPr>
          <w:sz w:val="20"/>
          <w:szCs w:val="20"/>
        </w:rPr>
        <w:t xml:space="preserve"> Rediske (AWRI)</w:t>
      </w:r>
    </w:p>
    <w:p w14:paraId="0BC98721" w14:textId="4D51A573" w:rsidR="000411AD" w:rsidRPr="00AA026A" w:rsidRDefault="000411AD" w:rsidP="00B26CA8">
      <w:pPr>
        <w:pStyle w:val="ListParagraph"/>
        <w:numPr>
          <w:ilvl w:val="0"/>
          <w:numId w:val="2"/>
        </w:numPr>
        <w:rPr>
          <w:sz w:val="20"/>
          <w:szCs w:val="20"/>
        </w:rPr>
      </w:pPr>
      <w:r w:rsidRPr="00AA026A">
        <w:rPr>
          <w:sz w:val="20"/>
          <w:szCs w:val="20"/>
        </w:rPr>
        <w:t>Russ Rhoads (ANT)</w:t>
      </w:r>
    </w:p>
    <w:p w14:paraId="4519B3F2" w14:textId="06191865" w:rsidR="000411AD" w:rsidRPr="00AA026A" w:rsidRDefault="000411AD" w:rsidP="00B26CA8">
      <w:pPr>
        <w:pStyle w:val="ListParagraph"/>
        <w:numPr>
          <w:ilvl w:val="0"/>
          <w:numId w:val="2"/>
        </w:numPr>
        <w:rPr>
          <w:sz w:val="20"/>
          <w:szCs w:val="20"/>
        </w:rPr>
      </w:pPr>
      <w:r w:rsidRPr="00AA026A">
        <w:rPr>
          <w:sz w:val="20"/>
          <w:szCs w:val="20"/>
        </w:rPr>
        <w:t>Victoria Veenstra (COM)</w:t>
      </w:r>
    </w:p>
    <w:p w14:paraId="4BE5981E" w14:textId="4056330F" w:rsidR="000411AD" w:rsidRPr="00AA026A" w:rsidRDefault="000411AD" w:rsidP="007740D2">
      <w:pPr>
        <w:pStyle w:val="ListParagraph"/>
        <w:numPr>
          <w:ilvl w:val="0"/>
          <w:numId w:val="2"/>
        </w:numPr>
        <w:rPr>
          <w:sz w:val="20"/>
          <w:szCs w:val="20"/>
        </w:rPr>
      </w:pPr>
      <w:r w:rsidRPr="00AA026A">
        <w:rPr>
          <w:sz w:val="20"/>
          <w:szCs w:val="20"/>
        </w:rPr>
        <w:t>Peter Wampler (GEO)</w:t>
      </w:r>
    </w:p>
    <w:p w14:paraId="6798713A" w14:textId="04BD4BEE" w:rsidR="000411AD" w:rsidRPr="00AA026A" w:rsidRDefault="000411AD" w:rsidP="000411AD">
      <w:pPr>
        <w:pStyle w:val="ListParagraph"/>
        <w:ind w:left="990"/>
        <w:rPr>
          <w:sz w:val="20"/>
          <w:szCs w:val="20"/>
        </w:rPr>
      </w:pPr>
    </w:p>
    <w:p w14:paraId="1BC7B4B8" w14:textId="16D92AEA" w:rsidR="008C6CB6" w:rsidRPr="00AA026A" w:rsidRDefault="0072512E" w:rsidP="00FC70AD">
      <w:pPr>
        <w:rPr>
          <w:sz w:val="20"/>
          <w:szCs w:val="20"/>
        </w:rPr>
      </w:pPr>
      <w:r w:rsidRPr="00AA026A">
        <w:rPr>
          <w:sz w:val="20"/>
          <w:szCs w:val="20"/>
        </w:rPr>
        <w:t xml:space="preserve">The CPC is grateful for dedicated support from Heidi Nicholson </w:t>
      </w:r>
      <w:r w:rsidR="000411AD" w:rsidRPr="00AA026A">
        <w:rPr>
          <w:sz w:val="20"/>
          <w:szCs w:val="20"/>
        </w:rPr>
        <w:t xml:space="preserve">in </w:t>
      </w:r>
      <w:r w:rsidRPr="00AA026A">
        <w:rPr>
          <w:sz w:val="20"/>
          <w:szCs w:val="20"/>
        </w:rPr>
        <w:t xml:space="preserve">the Dean’s office, and to Associate Dean Gary Stark who works closely with the committee and whose </w:t>
      </w:r>
      <w:r w:rsidR="007740D2" w:rsidRPr="00AA026A">
        <w:rPr>
          <w:sz w:val="20"/>
          <w:szCs w:val="20"/>
        </w:rPr>
        <w:t xml:space="preserve">experienced advice is </w:t>
      </w:r>
      <w:r w:rsidR="00CB2974" w:rsidRPr="00AA026A">
        <w:rPr>
          <w:sz w:val="20"/>
          <w:szCs w:val="20"/>
        </w:rPr>
        <w:t xml:space="preserve">very </w:t>
      </w:r>
      <w:r w:rsidRPr="00AA026A">
        <w:rPr>
          <w:sz w:val="20"/>
          <w:szCs w:val="20"/>
        </w:rPr>
        <w:t>much appreciated.</w:t>
      </w:r>
    </w:p>
    <w:sectPr w:rsidR="008C6CB6" w:rsidRPr="00AA026A" w:rsidSect="00BA1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8F834" w14:textId="77777777" w:rsidR="008E31E9" w:rsidRDefault="008E31E9" w:rsidP="00544549">
      <w:pPr>
        <w:spacing w:after="0" w:line="240" w:lineRule="auto"/>
      </w:pPr>
      <w:r>
        <w:separator/>
      </w:r>
    </w:p>
  </w:endnote>
  <w:endnote w:type="continuationSeparator" w:id="0">
    <w:p w14:paraId="25B2D6FD" w14:textId="77777777" w:rsidR="008E31E9" w:rsidRDefault="008E31E9" w:rsidP="0054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CB927" w14:textId="77777777" w:rsidR="008E31E9" w:rsidRDefault="008E31E9" w:rsidP="00544549">
      <w:pPr>
        <w:spacing w:after="0" w:line="240" w:lineRule="auto"/>
      </w:pPr>
      <w:r>
        <w:separator/>
      </w:r>
    </w:p>
  </w:footnote>
  <w:footnote w:type="continuationSeparator" w:id="0">
    <w:p w14:paraId="2B88B79C" w14:textId="77777777" w:rsidR="008E31E9" w:rsidRDefault="008E31E9" w:rsidP="00544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383C"/>
    <w:multiLevelType w:val="hybridMultilevel"/>
    <w:tmpl w:val="30DE45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501C36"/>
    <w:multiLevelType w:val="hybridMultilevel"/>
    <w:tmpl w:val="19DE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AD"/>
    <w:rsid w:val="00037F80"/>
    <w:rsid w:val="000411AD"/>
    <w:rsid w:val="000A37C4"/>
    <w:rsid w:val="000E1BB1"/>
    <w:rsid w:val="001328DB"/>
    <w:rsid w:val="00134418"/>
    <w:rsid w:val="00172646"/>
    <w:rsid w:val="00181785"/>
    <w:rsid w:val="001A73F4"/>
    <w:rsid w:val="002378BF"/>
    <w:rsid w:val="002C2105"/>
    <w:rsid w:val="002D3FE0"/>
    <w:rsid w:val="002E6865"/>
    <w:rsid w:val="003019D6"/>
    <w:rsid w:val="00325BAC"/>
    <w:rsid w:val="00392F1B"/>
    <w:rsid w:val="003B371E"/>
    <w:rsid w:val="004333D0"/>
    <w:rsid w:val="00446F75"/>
    <w:rsid w:val="0045643E"/>
    <w:rsid w:val="004569C5"/>
    <w:rsid w:val="0049680F"/>
    <w:rsid w:val="004A2D6E"/>
    <w:rsid w:val="004F6787"/>
    <w:rsid w:val="00544549"/>
    <w:rsid w:val="00547526"/>
    <w:rsid w:val="00554D8E"/>
    <w:rsid w:val="005B4715"/>
    <w:rsid w:val="00610600"/>
    <w:rsid w:val="00641F53"/>
    <w:rsid w:val="00686508"/>
    <w:rsid w:val="006C57F7"/>
    <w:rsid w:val="0072512E"/>
    <w:rsid w:val="00731BE7"/>
    <w:rsid w:val="00766813"/>
    <w:rsid w:val="007740D2"/>
    <w:rsid w:val="007D73E8"/>
    <w:rsid w:val="007F557C"/>
    <w:rsid w:val="0080029B"/>
    <w:rsid w:val="00826F7C"/>
    <w:rsid w:val="00850017"/>
    <w:rsid w:val="00860003"/>
    <w:rsid w:val="008610BE"/>
    <w:rsid w:val="008C6CB6"/>
    <w:rsid w:val="008E31E9"/>
    <w:rsid w:val="009A6321"/>
    <w:rsid w:val="00A250E4"/>
    <w:rsid w:val="00AA026A"/>
    <w:rsid w:val="00AB27E8"/>
    <w:rsid w:val="00AC231D"/>
    <w:rsid w:val="00AE4711"/>
    <w:rsid w:val="00B1245A"/>
    <w:rsid w:val="00B26CA8"/>
    <w:rsid w:val="00B42D9C"/>
    <w:rsid w:val="00B76F64"/>
    <w:rsid w:val="00B94694"/>
    <w:rsid w:val="00BA1831"/>
    <w:rsid w:val="00BE3E47"/>
    <w:rsid w:val="00BF372E"/>
    <w:rsid w:val="00C06413"/>
    <w:rsid w:val="00C15633"/>
    <w:rsid w:val="00C254AF"/>
    <w:rsid w:val="00CB2974"/>
    <w:rsid w:val="00CE7027"/>
    <w:rsid w:val="00CF5ED6"/>
    <w:rsid w:val="00D24026"/>
    <w:rsid w:val="00DB03AD"/>
    <w:rsid w:val="00DF4EF7"/>
    <w:rsid w:val="00E567B2"/>
    <w:rsid w:val="00E966DD"/>
    <w:rsid w:val="00EA1D9D"/>
    <w:rsid w:val="00EB0C8A"/>
    <w:rsid w:val="00EC1423"/>
    <w:rsid w:val="00ED4E34"/>
    <w:rsid w:val="00F02101"/>
    <w:rsid w:val="00FC70AD"/>
    <w:rsid w:val="00FD3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D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6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D9D"/>
    <w:pPr>
      <w:ind w:left="720"/>
      <w:contextualSpacing/>
    </w:pPr>
  </w:style>
  <w:style w:type="character" w:customStyle="1" w:styleId="Heading2Char">
    <w:name w:val="Heading 2 Char"/>
    <w:basedOn w:val="DefaultParagraphFont"/>
    <w:link w:val="Heading2"/>
    <w:uiPriority w:val="9"/>
    <w:rsid w:val="00610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060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445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4549"/>
  </w:style>
  <w:style w:type="paragraph" w:styleId="Footer">
    <w:name w:val="footer"/>
    <w:basedOn w:val="Normal"/>
    <w:link w:val="FooterChar"/>
    <w:uiPriority w:val="99"/>
    <w:unhideWhenUsed/>
    <w:rsid w:val="005445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4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6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D9D"/>
    <w:pPr>
      <w:ind w:left="720"/>
      <w:contextualSpacing/>
    </w:pPr>
  </w:style>
  <w:style w:type="character" w:customStyle="1" w:styleId="Heading2Char">
    <w:name w:val="Heading 2 Char"/>
    <w:basedOn w:val="DefaultParagraphFont"/>
    <w:link w:val="Heading2"/>
    <w:uiPriority w:val="9"/>
    <w:rsid w:val="00610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060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445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4549"/>
  </w:style>
  <w:style w:type="paragraph" w:styleId="Footer">
    <w:name w:val="footer"/>
    <w:basedOn w:val="Normal"/>
    <w:link w:val="FooterChar"/>
    <w:uiPriority w:val="99"/>
    <w:unhideWhenUsed/>
    <w:rsid w:val="005445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mcbaneg</dc:creator>
  <cp:lastModifiedBy>hardimak</cp:lastModifiedBy>
  <cp:revision>2</cp:revision>
  <cp:lastPrinted>2011-03-20T19:28:00Z</cp:lastPrinted>
  <dcterms:created xsi:type="dcterms:W3CDTF">2014-03-27T12:55:00Z</dcterms:created>
  <dcterms:modified xsi:type="dcterms:W3CDTF">2014-03-27T12:55:00Z</dcterms:modified>
</cp:coreProperties>
</file>