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5A7A" w14:textId="36F40910" w:rsidR="008F5FED" w:rsidRPr="00E62070" w:rsidRDefault="008F5FED" w:rsidP="00E62070">
      <w:pPr>
        <w:pStyle w:val="Heading1"/>
      </w:pPr>
      <w:r w:rsidRPr="00E62070">
        <w:t>LGBT Faculty Staff Association Grant Application</w:t>
      </w:r>
      <w:r w:rsidR="00E62070">
        <w:t>s</w:t>
      </w:r>
    </w:p>
    <w:p w14:paraId="0741F834" w14:textId="3FEF4DA5" w:rsidR="008F5FED" w:rsidRPr="00E62070" w:rsidRDefault="008F5FED" w:rsidP="008F5FED">
      <w:pPr>
        <w:pStyle w:val="NormalWeb"/>
        <w:rPr>
          <w:rFonts w:ascii="Arial" w:hAnsi="Arial" w:cs="Arial"/>
        </w:rPr>
      </w:pPr>
      <w:r w:rsidRPr="00E62070">
        <w:rPr>
          <w:rFonts w:ascii="Arial" w:hAnsi="Arial" w:cs="Arial"/>
          <w:b/>
          <w:bCs/>
          <w:i/>
          <w:iCs/>
        </w:rPr>
        <w:t xml:space="preserve">Purpose: </w:t>
      </w:r>
      <w:r w:rsidRPr="00E62070">
        <w:rPr>
          <w:rFonts w:ascii="Arial" w:hAnsi="Arial" w:cs="Arial"/>
        </w:rPr>
        <w:t>The purpose of the LGBT FSA Grant Program is to promote LGBT related scholarship</w:t>
      </w:r>
      <w:r w:rsidR="0027648C" w:rsidRPr="00E62070">
        <w:rPr>
          <w:rFonts w:ascii="Arial" w:hAnsi="Arial" w:cs="Arial"/>
        </w:rPr>
        <w:t xml:space="preserve"> and artistic work</w:t>
      </w:r>
      <w:r w:rsidRPr="00E62070">
        <w:rPr>
          <w:rFonts w:ascii="Arial" w:hAnsi="Arial" w:cs="Arial"/>
        </w:rPr>
        <w:t xml:space="preserve"> that fosters an inclusive community for LGBT faculty and staff at GVSU. That grant purpose is to provide flexibility to meet special funding needs that, without support, would prevent </w:t>
      </w:r>
      <w:r w:rsidR="0027648C" w:rsidRPr="00E62070">
        <w:rPr>
          <w:rFonts w:ascii="Arial" w:hAnsi="Arial" w:cs="Arial"/>
        </w:rPr>
        <w:t>faculty and staff</w:t>
      </w:r>
      <w:r w:rsidRPr="00E62070">
        <w:rPr>
          <w:rFonts w:ascii="Arial" w:hAnsi="Arial" w:cs="Arial"/>
        </w:rPr>
        <w:t xml:space="preserve"> from pursuing the project. The award is designed to help defray the cost of travel, supplies, and other materials necessary to conduct the project. These funds are not intended to be used to supplement any current funding or conference travel. </w:t>
      </w:r>
    </w:p>
    <w:p w14:paraId="08DB9C5D" w14:textId="284A6FFF" w:rsidR="008F5FED" w:rsidRPr="00E62070" w:rsidRDefault="008F5FED" w:rsidP="008F5FED">
      <w:pPr>
        <w:pStyle w:val="NormalWeb"/>
        <w:rPr>
          <w:rFonts w:ascii="Arial" w:hAnsi="Arial" w:cs="Arial"/>
        </w:rPr>
      </w:pPr>
      <w:r w:rsidRPr="00E62070">
        <w:rPr>
          <w:rFonts w:ascii="Arial" w:hAnsi="Arial" w:cs="Arial"/>
          <w:b/>
          <w:bCs/>
          <w:i/>
          <w:iCs/>
        </w:rPr>
        <w:t xml:space="preserve">Eligibility: </w:t>
      </w:r>
      <w:r w:rsidRPr="00E62070">
        <w:rPr>
          <w:rFonts w:ascii="Arial" w:hAnsi="Arial" w:cs="Arial"/>
        </w:rPr>
        <w:t>Faculty, staff, and graduate students are eligible</w:t>
      </w:r>
      <w:r w:rsidRPr="00E62070">
        <w:rPr>
          <w:rFonts w:ascii="Arial" w:hAnsi="Arial" w:cs="Arial"/>
          <w:b/>
          <w:bCs/>
        </w:rPr>
        <w:t xml:space="preserve">. </w:t>
      </w:r>
      <w:r w:rsidRPr="00E62070">
        <w:rPr>
          <w:rFonts w:ascii="Arial" w:hAnsi="Arial" w:cs="Arial"/>
        </w:rPr>
        <w:t xml:space="preserve">Given equally meritorious applications, preference will be given to the support scholarship originating at GVSU, to individuals actively seeking alternative sources (particularly external sources) of support, and to individuals who have not received prior funding under this program (particularly within the past year). </w:t>
      </w:r>
    </w:p>
    <w:p w14:paraId="6C0A5B79" w14:textId="5A8276FA" w:rsidR="008F5FED" w:rsidRPr="00E62070" w:rsidRDefault="008F5FED" w:rsidP="008F5FED">
      <w:pPr>
        <w:pStyle w:val="NormalWeb"/>
        <w:rPr>
          <w:rFonts w:ascii="Arial" w:hAnsi="Arial" w:cs="Arial"/>
        </w:rPr>
      </w:pPr>
      <w:r w:rsidRPr="00E62070">
        <w:rPr>
          <w:rFonts w:ascii="Arial" w:hAnsi="Arial" w:cs="Arial"/>
          <w:b/>
          <w:bCs/>
          <w:i/>
          <w:iCs/>
        </w:rPr>
        <w:t>Funding</w:t>
      </w:r>
      <w:r w:rsidR="0027648C" w:rsidRPr="00E62070">
        <w:rPr>
          <w:rFonts w:ascii="Arial" w:hAnsi="Arial" w:cs="Arial"/>
          <w:b/>
          <w:bCs/>
          <w:i/>
          <w:iCs/>
        </w:rPr>
        <w:t>:</w:t>
      </w:r>
      <w:r w:rsidRPr="00E62070">
        <w:rPr>
          <w:rFonts w:ascii="Arial" w:hAnsi="Arial" w:cs="Arial"/>
          <w:b/>
          <w:bCs/>
          <w:i/>
          <w:iCs/>
        </w:rPr>
        <w:t xml:space="preserve"> </w:t>
      </w:r>
      <w:r w:rsidRPr="00E62070">
        <w:rPr>
          <w:rFonts w:ascii="Arial" w:hAnsi="Arial" w:cs="Arial"/>
        </w:rPr>
        <w:t>Awards will consist of a maximum of $1000. Up to two grants are awarded each year.</w:t>
      </w:r>
    </w:p>
    <w:p w14:paraId="646419EE" w14:textId="77777777" w:rsidR="008F5FED" w:rsidRPr="00E62070" w:rsidRDefault="008F5FED" w:rsidP="008F5FED">
      <w:pPr>
        <w:pStyle w:val="NormalWeb"/>
        <w:rPr>
          <w:rFonts w:ascii="Arial" w:hAnsi="Arial" w:cs="Arial"/>
        </w:rPr>
      </w:pPr>
      <w:r w:rsidRPr="00E62070">
        <w:rPr>
          <w:rFonts w:ascii="Arial" w:hAnsi="Arial" w:cs="Arial"/>
          <w:b/>
          <w:bCs/>
          <w:i/>
          <w:iCs/>
        </w:rPr>
        <w:t xml:space="preserve">Applications will require the following documents: </w:t>
      </w:r>
    </w:p>
    <w:p w14:paraId="6F43ABBB" w14:textId="77777777" w:rsidR="008F5FED" w:rsidRPr="00E62070" w:rsidRDefault="008F5FED" w:rsidP="008F5FED">
      <w:pPr>
        <w:pStyle w:val="NormalWeb"/>
        <w:rPr>
          <w:rFonts w:ascii="Arial" w:hAnsi="Arial" w:cs="Arial"/>
        </w:rPr>
      </w:pPr>
      <w:r w:rsidRPr="00E62070">
        <w:rPr>
          <w:rFonts w:ascii="Arial" w:hAnsi="Arial" w:cs="Arial"/>
          <w:b/>
          <w:bCs/>
        </w:rPr>
        <w:t xml:space="preserve">CV </w:t>
      </w:r>
    </w:p>
    <w:p w14:paraId="122010D5" w14:textId="77777777" w:rsidR="008F5FED" w:rsidRPr="00E62070" w:rsidRDefault="008F5FED" w:rsidP="008F5FED">
      <w:pPr>
        <w:pStyle w:val="NormalWeb"/>
        <w:rPr>
          <w:rFonts w:ascii="Arial" w:hAnsi="Arial" w:cs="Arial"/>
        </w:rPr>
      </w:pPr>
      <w:r w:rsidRPr="00E62070">
        <w:rPr>
          <w:rFonts w:ascii="Arial" w:hAnsi="Arial" w:cs="Arial"/>
        </w:rPr>
        <w:t xml:space="preserve">Provide an updated CV of key personnel </w:t>
      </w:r>
    </w:p>
    <w:p w14:paraId="7332846E" w14:textId="77777777" w:rsidR="008F5FED" w:rsidRPr="00E62070" w:rsidRDefault="008F5FED" w:rsidP="008F5FED">
      <w:pPr>
        <w:pStyle w:val="NormalWeb"/>
        <w:rPr>
          <w:rFonts w:ascii="Arial" w:hAnsi="Arial" w:cs="Arial"/>
        </w:rPr>
      </w:pPr>
      <w:r w:rsidRPr="00E62070">
        <w:rPr>
          <w:rFonts w:ascii="Arial" w:hAnsi="Arial" w:cs="Arial"/>
          <w:b/>
          <w:bCs/>
        </w:rPr>
        <w:t xml:space="preserve">Letter of Support </w:t>
      </w:r>
    </w:p>
    <w:p w14:paraId="740F73FB" w14:textId="0A468ECC" w:rsidR="008F5FED" w:rsidRPr="00E62070" w:rsidRDefault="008F5FED" w:rsidP="008F5FED">
      <w:pPr>
        <w:pStyle w:val="NormalWeb"/>
        <w:rPr>
          <w:rFonts w:ascii="Arial" w:hAnsi="Arial" w:cs="Arial"/>
        </w:rPr>
      </w:pPr>
      <w:r w:rsidRPr="00E62070">
        <w:rPr>
          <w:rFonts w:ascii="Arial" w:hAnsi="Arial" w:cs="Arial"/>
        </w:rPr>
        <w:t xml:space="preserve">A letter of support should be written by </w:t>
      </w:r>
      <w:r w:rsidR="000312B7" w:rsidRPr="00E62070">
        <w:rPr>
          <w:rFonts w:ascii="Arial" w:hAnsi="Arial" w:cs="Arial"/>
        </w:rPr>
        <w:t>the</w:t>
      </w:r>
      <w:r w:rsidRPr="00E62070">
        <w:rPr>
          <w:rFonts w:ascii="Arial" w:hAnsi="Arial" w:cs="Arial"/>
        </w:rPr>
        <w:t xml:space="preserve"> department chair or supervisor</w:t>
      </w:r>
      <w:r w:rsidR="000312B7" w:rsidRPr="00E62070">
        <w:rPr>
          <w:rFonts w:ascii="Arial" w:hAnsi="Arial" w:cs="Arial"/>
        </w:rPr>
        <w:t xml:space="preserve"> of each faculty/staff member applying</w:t>
      </w:r>
      <w:r w:rsidRPr="00E62070">
        <w:rPr>
          <w:rFonts w:ascii="Arial" w:hAnsi="Arial" w:cs="Arial"/>
        </w:rPr>
        <w:t xml:space="preserve">. </w:t>
      </w:r>
    </w:p>
    <w:p w14:paraId="0FE1667D" w14:textId="77777777" w:rsidR="008F5FED" w:rsidRPr="00E62070" w:rsidRDefault="008F5FED" w:rsidP="008F5FED">
      <w:pPr>
        <w:pStyle w:val="NormalWeb"/>
        <w:rPr>
          <w:rFonts w:ascii="Arial" w:hAnsi="Arial" w:cs="Arial"/>
        </w:rPr>
      </w:pPr>
      <w:r w:rsidRPr="00E62070">
        <w:rPr>
          <w:rFonts w:ascii="Arial" w:hAnsi="Arial" w:cs="Arial"/>
          <w:b/>
          <w:bCs/>
        </w:rPr>
        <w:t xml:space="preserve">Proposal </w:t>
      </w:r>
    </w:p>
    <w:p w14:paraId="55257817" w14:textId="77777777" w:rsidR="008F5FED" w:rsidRPr="00E62070" w:rsidRDefault="008F5FED" w:rsidP="008F5FED">
      <w:pPr>
        <w:pStyle w:val="NormalWeb"/>
        <w:rPr>
          <w:rFonts w:ascii="Arial" w:hAnsi="Arial" w:cs="Arial"/>
        </w:rPr>
      </w:pPr>
      <w:r w:rsidRPr="00E62070">
        <w:rPr>
          <w:rFonts w:ascii="Arial" w:hAnsi="Arial" w:cs="Arial"/>
          <w:b/>
          <w:bCs/>
        </w:rPr>
        <w:t xml:space="preserve">Section 1: Project Description </w:t>
      </w:r>
    </w:p>
    <w:p w14:paraId="197CEA6B" w14:textId="77777777" w:rsidR="008F5FED" w:rsidRPr="00E62070" w:rsidRDefault="008F5FED" w:rsidP="008F5FED">
      <w:pPr>
        <w:pStyle w:val="NormalWeb"/>
        <w:rPr>
          <w:rFonts w:ascii="Arial" w:hAnsi="Arial" w:cs="Arial"/>
        </w:rPr>
      </w:pPr>
      <w:r w:rsidRPr="00E62070">
        <w:rPr>
          <w:rFonts w:ascii="Arial" w:hAnsi="Arial" w:cs="Arial"/>
        </w:rPr>
        <w:t xml:space="preserve">Please describe how your scholarship encourages an LGBT inclusive community at GVSU. </w:t>
      </w:r>
      <w:r w:rsidRPr="00E62070">
        <w:rPr>
          <w:rFonts w:ascii="Arial" w:hAnsi="Arial" w:cs="Arial"/>
          <w:b/>
          <w:bCs/>
        </w:rPr>
        <w:t xml:space="preserve">[Limit of 250 words] </w:t>
      </w:r>
    </w:p>
    <w:p w14:paraId="6839B91A" w14:textId="77777777" w:rsidR="008F5FED" w:rsidRPr="00E62070" w:rsidRDefault="008F5FED" w:rsidP="008F5FED">
      <w:pPr>
        <w:pStyle w:val="NormalWeb"/>
        <w:rPr>
          <w:rFonts w:ascii="Arial" w:hAnsi="Arial" w:cs="Arial"/>
        </w:rPr>
      </w:pPr>
      <w:r w:rsidRPr="00E62070">
        <w:rPr>
          <w:rFonts w:ascii="Arial" w:hAnsi="Arial" w:cs="Arial"/>
          <w:b/>
          <w:bCs/>
        </w:rPr>
        <w:t xml:space="preserve">Section 2: Abstract </w:t>
      </w:r>
    </w:p>
    <w:p w14:paraId="097EF70F" w14:textId="77777777" w:rsidR="008F5FED" w:rsidRPr="00E62070" w:rsidRDefault="008F5FED" w:rsidP="008F5FED">
      <w:pPr>
        <w:pStyle w:val="NormalWeb"/>
        <w:rPr>
          <w:rFonts w:ascii="Arial" w:hAnsi="Arial" w:cs="Arial"/>
        </w:rPr>
      </w:pPr>
      <w:r w:rsidRPr="00E62070">
        <w:rPr>
          <w:rFonts w:ascii="Arial" w:hAnsi="Arial" w:cs="Arial"/>
        </w:rPr>
        <w:t xml:space="preserve">Please provide a brief summary of the project (suitable for publication, if grant is funded) </w:t>
      </w:r>
    </w:p>
    <w:p w14:paraId="66D8C167" w14:textId="77777777" w:rsidR="008F5FED" w:rsidRPr="00E62070" w:rsidRDefault="008F5FED" w:rsidP="008F5FED">
      <w:pPr>
        <w:pStyle w:val="NormalWeb"/>
        <w:rPr>
          <w:rFonts w:ascii="Arial" w:hAnsi="Arial" w:cs="Arial"/>
        </w:rPr>
      </w:pPr>
      <w:r w:rsidRPr="00E62070">
        <w:rPr>
          <w:rFonts w:ascii="Arial" w:hAnsi="Arial" w:cs="Arial"/>
          <w:b/>
          <w:bCs/>
        </w:rPr>
        <w:t xml:space="preserve">[Limit of 150 words] </w:t>
      </w:r>
    </w:p>
    <w:p w14:paraId="24808D26" w14:textId="77777777" w:rsidR="008F5FED" w:rsidRPr="00E62070" w:rsidRDefault="008F5FED" w:rsidP="008F5FED">
      <w:pPr>
        <w:pStyle w:val="NormalWeb"/>
        <w:rPr>
          <w:rFonts w:ascii="Arial" w:hAnsi="Arial" w:cs="Arial"/>
        </w:rPr>
      </w:pPr>
      <w:r w:rsidRPr="00E62070">
        <w:rPr>
          <w:rFonts w:ascii="Arial" w:hAnsi="Arial" w:cs="Arial"/>
          <w:b/>
          <w:bCs/>
        </w:rPr>
        <w:lastRenderedPageBreak/>
        <w:t>Section 3: Process</w:t>
      </w:r>
      <w:r w:rsidRPr="00E62070">
        <w:rPr>
          <w:rFonts w:ascii="Arial" w:hAnsi="Arial" w:cs="Arial"/>
          <w:b/>
          <w:bCs/>
        </w:rPr>
        <w:br/>
      </w:r>
      <w:r w:rsidRPr="00E62070">
        <w:rPr>
          <w:rFonts w:ascii="Arial" w:hAnsi="Arial" w:cs="Arial"/>
        </w:rPr>
        <w:t xml:space="preserve">Please describe as specifically as possible how you will accomplish your goals. </w:t>
      </w:r>
      <w:r w:rsidRPr="00E62070">
        <w:rPr>
          <w:rFonts w:ascii="Arial" w:hAnsi="Arial" w:cs="Arial"/>
          <w:b/>
          <w:bCs/>
        </w:rPr>
        <w:t xml:space="preserve">[Limit of 250 words] </w:t>
      </w:r>
    </w:p>
    <w:p w14:paraId="72B3A087" w14:textId="77777777" w:rsidR="008F5FED" w:rsidRPr="00E62070" w:rsidRDefault="008F5FED" w:rsidP="008F5FED">
      <w:pPr>
        <w:pStyle w:val="NormalWeb"/>
        <w:rPr>
          <w:rFonts w:ascii="Arial" w:hAnsi="Arial" w:cs="Arial"/>
        </w:rPr>
      </w:pPr>
      <w:r w:rsidRPr="00E62070">
        <w:rPr>
          <w:rFonts w:ascii="Arial" w:hAnsi="Arial" w:cs="Arial"/>
          <w:b/>
          <w:bCs/>
        </w:rPr>
        <w:t xml:space="preserve">Section 4: Transparency </w:t>
      </w:r>
    </w:p>
    <w:p w14:paraId="70223DF2" w14:textId="77777777" w:rsidR="008F5FED" w:rsidRPr="00E62070" w:rsidRDefault="008F5FED" w:rsidP="008F5FED">
      <w:pPr>
        <w:pStyle w:val="NormalWeb"/>
        <w:rPr>
          <w:rFonts w:ascii="Arial" w:hAnsi="Arial" w:cs="Arial"/>
        </w:rPr>
      </w:pPr>
      <w:r w:rsidRPr="00E62070">
        <w:rPr>
          <w:rFonts w:ascii="Arial" w:hAnsi="Arial" w:cs="Arial"/>
        </w:rPr>
        <w:t xml:space="preserve">Proposals should include budget as to how the money will be spent. Also indicate how the results of the project will be disseminated. </w:t>
      </w:r>
    </w:p>
    <w:p w14:paraId="6CAF641F" w14:textId="77777777" w:rsidR="008F5FED" w:rsidRPr="00E62070" w:rsidRDefault="008F5FED" w:rsidP="008F5FED">
      <w:pPr>
        <w:pStyle w:val="NormalWeb"/>
        <w:rPr>
          <w:rFonts w:ascii="Arial" w:hAnsi="Arial" w:cs="Arial"/>
        </w:rPr>
      </w:pPr>
      <w:r w:rsidRPr="00E62070">
        <w:rPr>
          <w:rFonts w:ascii="Arial" w:hAnsi="Arial" w:cs="Arial"/>
          <w:b/>
          <w:bCs/>
        </w:rPr>
        <w:t>Section 5: Schedule</w:t>
      </w:r>
      <w:r w:rsidRPr="00E62070">
        <w:rPr>
          <w:rFonts w:ascii="Arial" w:hAnsi="Arial" w:cs="Arial"/>
          <w:b/>
          <w:bCs/>
        </w:rPr>
        <w:br/>
      </w:r>
      <w:r w:rsidRPr="00E62070">
        <w:rPr>
          <w:rFonts w:ascii="Arial" w:hAnsi="Arial" w:cs="Arial"/>
        </w:rPr>
        <w:t xml:space="preserve">Provide a specific timetable for implementing your project. [no longer than </w:t>
      </w:r>
      <w:r w:rsidRPr="00E62070">
        <w:rPr>
          <w:rFonts w:ascii="Arial" w:hAnsi="Arial" w:cs="Arial"/>
          <w:b/>
          <w:bCs/>
        </w:rPr>
        <w:t xml:space="preserve">six </w:t>
      </w:r>
      <w:r w:rsidRPr="00E62070">
        <w:rPr>
          <w:rFonts w:ascii="Arial" w:hAnsi="Arial" w:cs="Arial"/>
        </w:rPr>
        <w:t xml:space="preserve">months] </w:t>
      </w:r>
    </w:p>
    <w:p w14:paraId="1FA0F92B" w14:textId="77777777" w:rsidR="008F5FED" w:rsidRPr="00E62070" w:rsidRDefault="008F5FED" w:rsidP="008F5FED">
      <w:pPr>
        <w:pStyle w:val="NormalWeb"/>
        <w:rPr>
          <w:rFonts w:ascii="Arial" w:hAnsi="Arial" w:cs="Arial"/>
        </w:rPr>
      </w:pPr>
      <w:r w:rsidRPr="00E62070">
        <w:rPr>
          <w:rFonts w:ascii="Arial" w:hAnsi="Arial" w:cs="Arial"/>
          <w:b/>
          <w:bCs/>
          <w:i/>
          <w:iCs/>
        </w:rPr>
        <w:t xml:space="preserve">Submission </w:t>
      </w:r>
    </w:p>
    <w:p w14:paraId="7D839C7E" w14:textId="0C8F7FA8" w:rsidR="008F5FED" w:rsidRPr="00E62070" w:rsidRDefault="008F5FED" w:rsidP="008F5FED">
      <w:pPr>
        <w:pStyle w:val="NormalWeb"/>
        <w:rPr>
          <w:rFonts w:ascii="Arial" w:hAnsi="Arial" w:cs="Arial"/>
        </w:rPr>
      </w:pPr>
      <w:r w:rsidRPr="00E62070">
        <w:rPr>
          <w:rFonts w:ascii="Arial" w:hAnsi="Arial" w:cs="Arial"/>
        </w:rPr>
        <w:t xml:space="preserve">LGBT FSA Grant proposals are due on </w:t>
      </w:r>
      <w:r w:rsidRPr="00E62070">
        <w:rPr>
          <w:rFonts w:ascii="Arial" w:hAnsi="Arial" w:cs="Arial"/>
          <w:b/>
          <w:bCs/>
        </w:rPr>
        <w:t xml:space="preserve">October 30th </w:t>
      </w:r>
      <w:r w:rsidRPr="00E62070">
        <w:rPr>
          <w:rFonts w:ascii="Arial" w:hAnsi="Arial" w:cs="Arial"/>
        </w:rPr>
        <w:t xml:space="preserve">each calendar year and should be sent, via email, directly to the </w:t>
      </w:r>
      <w:r w:rsidR="000312B7" w:rsidRPr="00E62070">
        <w:rPr>
          <w:rFonts w:ascii="Arial" w:hAnsi="Arial" w:cs="Arial"/>
        </w:rPr>
        <w:t>LGBT FSA (lgbtfsa@gvsu.edu)</w:t>
      </w:r>
      <w:r w:rsidRPr="00E62070">
        <w:rPr>
          <w:rFonts w:ascii="Arial" w:hAnsi="Arial" w:cs="Arial"/>
        </w:rPr>
        <w:t xml:space="preserve">. Your proposal is not approved until you receive a confirmation email. </w:t>
      </w:r>
    </w:p>
    <w:p w14:paraId="3D177E9E" w14:textId="77777777" w:rsidR="008F5FED" w:rsidRPr="00E62070" w:rsidRDefault="008F5FED" w:rsidP="008F5FED">
      <w:pPr>
        <w:pStyle w:val="NormalWeb"/>
        <w:rPr>
          <w:rFonts w:ascii="Arial" w:hAnsi="Arial" w:cs="Arial"/>
        </w:rPr>
      </w:pPr>
      <w:r w:rsidRPr="00E62070">
        <w:rPr>
          <w:rFonts w:ascii="Arial" w:hAnsi="Arial" w:cs="Arial"/>
          <w:b/>
          <w:bCs/>
          <w:i/>
          <w:iCs/>
        </w:rPr>
        <w:t xml:space="preserve">Reimbursement Requirements </w:t>
      </w:r>
    </w:p>
    <w:p w14:paraId="49613C27" w14:textId="33F3EEAE" w:rsidR="008F5FED" w:rsidRPr="00E62070" w:rsidRDefault="008F5FED" w:rsidP="008F5FED">
      <w:pPr>
        <w:pStyle w:val="NormalWeb"/>
        <w:rPr>
          <w:rFonts w:ascii="Arial" w:hAnsi="Arial" w:cs="Arial"/>
          <w:b/>
          <w:bCs/>
        </w:rPr>
      </w:pPr>
      <w:r w:rsidRPr="00E62070">
        <w:rPr>
          <w:rFonts w:ascii="Arial" w:hAnsi="Arial" w:cs="Arial"/>
        </w:rPr>
        <w:t xml:space="preserve">All reimbursements are processed through your department. Submit your Travel &amp; Expense vouchers, receipts, invoices, PO's etc. to your department staff. They will help you with any forms or Accounting requirements that must be met. LGBT FSA-Grant recipients are expected to prepare a synopsis of the scholarship at the completion of the project. No further funding will be given to the faculty/staff member until the synopsis is received and accepted by the Center for Scholarly and Creative Excellence. </w:t>
      </w:r>
      <w:r w:rsidRPr="00E62070">
        <w:rPr>
          <w:rFonts w:ascii="Arial" w:hAnsi="Arial" w:cs="Arial"/>
          <w:b/>
          <w:bCs/>
        </w:rPr>
        <w:t xml:space="preserve">Reimbursements will not be processed without the accompanying report. </w:t>
      </w:r>
    </w:p>
    <w:p w14:paraId="324D8C52" w14:textId="270C4E81" w:rsidR="002D62C5" w:rsidRPr="00E62070" w:rsidRDefault="00E62070" w:rsidP="00E62070">
      <w:pPr>
        <w:pStyle w:val="NormalWeb"/>
        <w:rPr>
          <w:rFonts w:ascii="Arial" w:hAnsi="Arial" w:cs="Arial"/>
          <w:b/>
          <w:bCs/>
        </w:rPr>
      </w:pPr>
      <w:r w:rsidRPr="00E62070">
        <w:rPr>
          <w:rFonts w:ascii="Arial" w:hAnsi="Arial" w:cs="Arial"/>
          <w:b/>
          <w:bCs/>
        </w:rPr>
        <w:t>Purchases made with University funds:</w:t>
      </w:r>
    </w:p>
    <w:p w14:paraId="6A7FF702" w14:textId="77777777" w:rsidR="00E62070" w:rsidRPr="00E62070" w:rsidRDefault="00E62070" w:rsidP="00E62070">
      <w:pPr>
        <w:rPr>
          <w:rFonts w:ascii="Arial" w:eastAsia="Times New Roman" w:hAnsi="Arial" w:cs="Arial"/>
          <w:color w:val="000000"/>
        </w:rPr>
      </w:pPr>
      <w:r w:rsidRPr="00E62070">
        <w:rPr>
          <w:rFonts w:ascii="Arial" w:eastAsia="Times New Roman" w:hAnsi="Arial" w:cs="Arial"/>
          <w:color w:val="000000"/>
        </w:rPr>
        <w:t>Computer software, hardware, peripherals, and accessories must follow the </w:t>
      </w:r>
      <w:hyperlink r:id="rId4" w:history="1">
        <w:r w:rsidRPr="00E62070">
          <w:rPr>
            <w:rFonts w:ascii="Arial" w:eastAsia="Times New Roman" w:hAnsi="Arial" w:cs="Arial"/>
            <w:color w:val="954F72"/>
            <w:u w:val="single"/>
          </w:rPr>
          <w:t>Technology Supply Policy</w:t>
        </w:r>
      </w:hyperlink>
      <w:r w:rsidRPr="00E62070">
        <w:rPr>
          <w:rFonts w:ascii="Arial" w:eastAsia="Times New Roman" w:hAnsi="Arial" w:cs="Arial"/>
          <w:color w:val="000000"/>
        </w:rPr>
        <w:t>.</w:t>
      </w:r>
    </w:p>
    <w:p w14:paraId="4A340A1A" w14:textId="77777777" w:rsidR="00E62070" w:rsidRPr="00E62070" w:rsidRDefault="00E62070" w:rsidP="00E62070">
      <w:pPr>
        <w:rPr>
          <w:rFonts w:ascii="Arial" w:eastAsia="Times New Roman" w:hAnsi="Arial" w:cs="Arial"/>
          <w:color w:val="000000"/>
        </w:rPr>
      </w:pPr>
      <w:r w:rsidRPr="00E62070">
        <w:rPr>
          <w:rFonts w:ascii="Arial" w:eastAsia="Times New Roman" w:hAnsi="Arial" w:cs="Arial"/>
          <w:color w:val="000000"/>
        </w:rPr>
        <w:t> </w:t>
      </w:r>
    </w:p>
    <w:p w14:paraId="49746362" w14:textId="4AB3A8A1" w:rsidR="00E62070" w:rsidRPr="00E62070" w:rsidRDefault="00E62070" w:rsidP="00E62070">
      <w:pPr>
        <w:rPr>
          <w:rFonts w:ascii="Arial" w:eastAsia="Times New Roman" w:hAnsi="Arial" w:cs="Arial"/>
          <w:color w:val="000000"/>
        </w:rPr>
      </w:pPr>
      <w:r w:rsidRPr="00E62070">
        <w:rPr>
          <w:rFonts w:ascii="Arial" w:eastAsia="Times New Roman" w:hAnsi="Arial" w:cs="Arial"/>
          <w:color w:val="000000"/>
        </w:rPr>
        <w:t xml:space="preserve">Editorial services/fees for article, journal or book submissions: Payments for services must be done through department </w:t>
      </w:r>
      <w:proofErr w:type="spellStart"/>
      <w:r w:rsidRPr="00E62070">
        <w:rPr>
          <w:rFonts w:ascii="Arial" w:eastAsia="Times New Roman" w:hAnsi="Arial" w:cs="Arial"/>
          <w:color w:val="000000"/>
        </w:rPr>
        <w:t>Pcard</w:t>
      </w:r>
      <w:proofErr w:type="spellEnd"/>
      <w:r w:rsidRPr="00E62070">
        <w:rPr>
          <w:rFonts w:ascii="Arial" w:eastAsia="Times New Roman" w:hAnsi="Arial" w:cs="Arial"/>
          <w:color w:val="000000"/>
        </w:rPr>
        <w:t>, according to </w:t>
      </w:r>
      <w:hyperlink r:id="rId5" w:tooltip="https://www.gvsu.edu/cms4/asset/8D573182-983E-4CEF-F0CCC1429FAFC6B8/304-purchasing_procedures.pdf" w:history="1">
        <w:r w:rsidRPr="00E62070">
          <w:rPr>
            <w:rFonts w:ascii="Arial" w:eastAsia="Times New Roman" w:hAnsi="Arial" w:cs="Arial"/>
            <w:color w:val="954F72"/>
            <w:u w:val="single"/>
          </w:rPr>
          <w:t>Business &amp; Finance Purchasing Procedures</w:t>
        </w:r>
      </w:hyperlink>
      <w:r w:rsidRPr="00E62070">
        <w:rPr>
          <w:rFonts w:ascii="Arial" w:eastAsia="Times New Roman" w:hAnsi="Arial" w:cs="Arial"/>
          <w:color w:val="000000"/>
        </w:rPr>
        <w:t> – the independence of the service provider must be established.</w:t>
      </w:r>
    </w:p>
    <w:p w14:paraId="11157B93" w14:textId="77777777" w:rsidR="00E62070" w:rsidRPr="00E62070" w:rsidRDefault="00E62070" w:rsidP="00E62070">
      <w:pPr>
        <w:rPr>
          <w:rFonts w:ascii="Arial" w:eastAsia="Times New Roman" w:hAnsi="Arial" w:cs="Arial"/>
          <w:color w:val="000000"/>
        </w:rPr>
      </w:pPr>
      <w:r w:rsidRPr="00E62070">
        <w:rPr>
          <w:rFonts w:ascii="Arial" w:eastAsia="Times New Roman" w:hAnsi="Arial" w:cs="Arial"/>
          <w:color w:val="000000"/>
        </w:rPr>
        <w:t> </w:t>
      </w:r>
    </w:p>
    <w:p w14:paraId="00326922" w14:textId="6959015A" w:rsidR="00E62070" w:rsidRPr="00E62070" w:rsidRDefault="00E62070" w:rsidP="00E62070">
      <w:pPr>
        <w:rPr>
          <w:rFonts w:ascii="Arial" w:eastAsia="Times New Roman" w:hAnsi="Arial" w:cs="Arial"/>
          <w:color w:val="000000"/>
        </w:rPr>
      </w:pPr>
      <w:r w:rsidRPr="00E62070">
        <w:rPr>
          <w:rFonts w:ascii="Arial" w:eastAsia="Times New Roman" w:hAnsi="Arial" w:cs="Arial"/>
          <w:color w:val="000000"/>
        </w:rPr>
        <w:t>All items acquired using University funds (internal grant support ore department funds) are generally considered property of the University. These items are subject to the disposal policy procedures found:  </w:t>
      </w:r>
      <w:hyperlink r:id="rId6" w:history="1">
        <w:r w:rsidRPr="00E62070">
          <w:rPr>
            <w:rFonts w:ascii="Arial" w:eastAsia="Times New Roman" w:hAnsi="Arial" w:cs="Arial"/>
            <w:color w:val="954F72"/>
            <w:u w:val="single"/>
          </w:rPr>
          <w:t>https://www.gvsu.edu/purchasing/disposal-and-surplus-help-14.htm</w:t>
        </w:r>
      </w:hyperlink>
      <w:r w:rsidRPr="00E62070">
        <w:rPr>
          <w:rFonts w:ascii="Arial" w:eastAsia="Times New Roman" w:hAnsi="Arial" w:cs="Arial"/>
          <w:color w:val="000000"/>
        </w:rPr>
        <w:t>  and  </w:t>
      </w:r>
    </w:p>
    <w:p w14:paraId="28F7EFB5" w14:textId="77777777" w:rsidR="00E62070" w:rsidRPr="00E62070" w:rsidRDefault="00E62070" w:rsidP="00E62070">
      <w:pPr>
        <w:rPr>
          <w:rFonts w:ascii="Arial" w:eastAsia="Times New Roman" w:hAnsi="Arial" w:cs="Arial"/>
          <w:color w:val="000000"/>
        </w:rPr>
      </w:pPr>
      <w:hyperlink r:id="rId7" w:tooltip="https://www.gvsu.edu/purchasing/equipment-acquisition-and-disposal-policy-146.htm" w:history="1">
        <w:r w:rsidRPr="00E62070">
          <w:rPr>
            <w:rFonts w:ascii="Arial" w:eastAsia="Times New Roman" w:hAnsi="Arial" w:cs="Arial"/>
            <w:color w:val="954F72"/>
            <w:u w:val="single"/>
          </w:rPr>
          <w:t>https://www.gvsu.edu/purchasing/equipment-acquisition-and-disposal-policy-146.htm</w:t>
        </w:r>
      </w:hyperlink>
    </w:p>
    <w:p w14:paraId="1E2C7F76" w14:textId="77777777" w:rsidR="00E62070" w:rsidRPr="00E62070" w:rsidRDefault="00E62070" w:rsidP="00E62070">
      <w:pPr>
        <w:pStyle w:val="NormalWeb"/>
        <w:rPr>
          <w:rFonts w:ascii="Arial" w:hAnsi="Arial" w:cs="Arial"/>
          <w:b/>
          <w:bCs/>
        </w:rPr>
      </w:pPr>
    </w:p>
    <w:sectPr w:rsidR="00E62070" w:rsidRPr="00E62070" w:rsidSect="0085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ED"/>
    <w:rsid w:val="000312B7"/>
    <w:rsid w:val="0027648C"/>
    <w:rsid w:val="003203C4"/>
    <w:rsid w:val="005005EF"/>
    <w:rsid w:val="00856CE7"/>
    <w:rsid w:val="008C6B1F"/>
    <w:rsid w:val="008F5FED"/>
    <w:rsid w:val="00C04E54"/>
    <w:rsid w:val="00E6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94187"/>
  <w14:defaultImageDpi w14:val="32767"/>
  <w15:chartTrackingRefBased/>
  <w15:docId w15:val="{F180F1A6-F890-F148-A169-103ED1D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0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5F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2070"/>
  </w:style>
  <w:style w:type="character" w:styleId="Hyperlink">
    <w:name w:val="Hyperlink"/>
    <w:basedOn w:val="DefaultParagraphFont"/>
    <w:uiPriority w:val="99"/>
    <w:semiHidden/>
    <w:unhideWhenUsed/>
    <w:rsid w:val="00E62070"/>
    <w:rPr>
      <w:color w:val="0000FF"/>
      <w:u w:val="single"/>
    </w:rPr>
  </w:style>
  <w:style w:type="character" w:customStyle="1" w:styleId="Heading1Char">
    <w:name w:val="Heading 1 Char"/>
    <w:basedOn w:val="DefaultParagraphFont"/>
    <w:link w:val="Heading1"/>
    <w:uiPriority w:val="9"/>
    <w:rsid w:val="00E620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5680">
      <w:bodyDiv w:val="1"/>
      <w:marLeft w:val="0"/>
      <w:marRight w:val="0"/>
      <w:marTop w:val="0"/>
      <w:marBottom w:val="0"/>
      <w:divBdr>
        <w:top w:val="none" w:sz="0" w:space="0" w:color="auto"/>
        <w:left w:val="none" w:sz="0" w:space="0" w:color="auto"/>
        <w:bottom w:val="none" w:sz="0" w:space="0" w:color="auto"/>
        <w:right w:val="none" w:sz="0" w:space="0" w:color="auto"/>
      </w:divBdr>
    </w:div>
    <w:div w:id="219219875">
      <w:bodyDiv w:val="1"/>
      <w:marLeft w:val="0"/>
      <w:marRight w:val="0"/>
      <w:marTop w:val="0"/>
      <w:marBottom w:val="0"/>
      <w:divBdr>
        <w:top w:val="none" w:sz="0" w:space="0" w:color="auto"/>
        <w:left w:val="none" w:sz="0" w:space="0" w:color="auto"/>
        <w:bottom w:val="none" w:sz="0" w:space="0" w:color="auto"/>
        <w:right w:val="none" w:sz="0" w:space="0" w:color="auto"/>
      </w:divBdr>
    </w:div>
    <w:div w:id="506866838">
      <w:bodyDiv w:val="1"/>
      <w:marLeft w:val="0"/>
      <w:marRight w:val="0"/>
      <w:marTop w:val="0"/>
      <w:marBottom w:val="0"/>
      <w:divBdr>
        <w:top w:val="none" w:sz="0" w:space="0" w:color="auto"/>
        <w:left w:val="none" w:sz="0" w:space="0" w:color="auto"/>
        <w:bottom w:val="none" w:sz="0" w:space="0" w:color="auto"/>
        <w:right w:val="none" w:sz="0" w:space="0" w:color="auto"/>
      </w:divBdr>
    </w:div>
    <w:div w:id="1078553801">
      <w:bodyDiv w:val="1"/>
      <w:marLeft w:val="0"/>
      <w:marRight w:val="0"/>
      <w:marTop w:val="0"/>
      <w:marBottom w:val="0"/>
      <w:divBdr>
        <w:top w:val="none" w:sz="0" w:space="0" w:color="auto"/>
        <w:left w:val="none" w:sz="0" w:space="0" w:color="auto"/>
        <w:bottom w:val="none" w:sz="0" w:space="0" w:color="auto"/>
        <w:right w:val="none" w:sz="0" w:space="0" w:color="auto"/>
      </w:divBdr>
      <w:divsChild>
        <w:div w:id="1777675575">
          <w:marLeft w:val="0"/>
          <w:marRight w:val="0"/>
          <w:marTop w:val="0"/>
          <w:marBottom w:val="0"/>
          <w:divBdr>
            <w:top w:val="none" w:sz="0" w:space="0" w:color="auto"/>
            <w:left w:val="none" w:sz="0" w:space="0" w:color="auto"/>
            <w:bottom w:val="none" w:sz="0" w:space="0" w:color="auto"/>
            <w:right w:val="none" w:sz="0" w:space="0" w:color="auto"/>
          </w:divBdr>
          <w:divsChild>
            <w:div w:id="1951280254">
              <w:marLeft w:val="0"/>
              <w:marRight w:val="0"/>
              <w:marTop w:val="0"/>
              <w:marBottom w:val="0"/>
              <w:divBdr>
                <w:top w:val="none" w:sz="0" w:space="0" w:color="auto"/>
                <w:left w:val="none" w:sz="0" w:space="0" w:color="auto"/>
                <w:bottom w:val="none" w:sz="0" w:space="0" w:color="auto"/>
                <w:right w:val="none" w:sz="0" w:space="0" w:color="auto"/>
              </w:divBdr>
              <w:divsChild>
                <w:div w:id="15925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2010">
          <w:marLeft w:val="0"/>
          <w:marRight w:val="0"/>
          <w:marTop w:val="0"/>
          <w:marBottom w:val="0"/>
          <w:divBdr>
            <w:top w:val="none" w:sz="0" w:space="0" w:color="auto"/>
            <w:left w:val="none" w:sz="0" w:space="0" w:color="auto"/>
            <w:bottom w:val="none" w:sz="0" w:space="0" w:color="auto"/>
            <w:right w:val="none" w:sz="0" w:space="0" w:color="auto"/>
          </w:divBdr>
          <w:divsChild>
            <w:div w:id="465318957">
              <w:marLeft w:val="0"/>
              <w:marRight w:val="0"/>
              <w:marTop w:val="0"/>
              <w:marBottom w:val="0"/>
              <w:divBdr>
                <w:top w:val="none" w:sz="0" w:space="0" w:color="auto"/>
                <w:left w:val="none" w:sz="0" w:space="0" w:color="auto"/>
                <w:bottom w:val="none" w:sz="0" w:space="0" w:color="auto"/>
                <w:right w:val="none" w:sz="0" w:space="0" w:color="auto"/>
              </w:divBdr>
              <w:divsChild>
                <w:div w:id="10416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vsu.edu/purchasing/equipment-acquisition-and-disposal-policy-14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vsu.edu/purchasing/disposal-and-surplus-help-14.htm" TargetMode="External"/><Relationship Id="rId5" Type="http://schemas.openxmlformats.org/officeDocument/2006/relationships/hyperlink" Target="https://www.gvsu.edu/cms4/asset/8D573182-983E-4CEF-F0CCC1429FAFC6B8/304-purchasing_procedures.pdf" TargetMode="External"/><Relationship Id="rId4" Type="http://schemas.openxmlformats.org/officeDocument/2006/relationships/hyperlink" Target="https://www.gvsu.edu/it/it-technology-supply-office-160.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2019-12-02T18:15:00Z</dcterms:created>
  <dcterms:modified xsi:type="dcterms:W3CDTF">2021-01-06T14:10:00Z</dcterms:modified>
</cp:coreProperties>
</file>