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AE2" w:rsidRPr="00E64AE2" w:rsidRDefault="00E64AE2" w:rsidP="00E64AE2">
      <w:pPr>
        <w:kinsoku w:val="0"/>
        <w:overflowPunct w:val="0"/>
        <w:autoSpaceDE w:val="0"/>
        <w:autoSpaceDN w:val="0"/>
        <w:adjustRightInd w:val="0"/>
        <w:spacing w:before="113" w:after="0" w:line="240" w:lineRule="auto"/>
        <w:ind w:left="2949"/>
        <w:rPr>
          <w:rFonts w:ascii="Times New Roman" w:hAnsi="Times New Roman" w:cs="Times New Roman"/>
          <w:b/>
          <w:bCs/>
          <w:sz w:val="72"/>
          <w:szCs w:val="72"/>
        </w:rPr>
      </w:pPr>
      <w:r w:rsidRPr="00E64AE2">
        <w:rPr>
          <w:rFonts w:ascii="Times New Roman" w:hAnsi="Times New Roman" w:cs="Times New Roman"/>
          <w:b/>
          <w:bCs/>
          <w:sz w:val="72"/>
          <w:szCs w:val="72"/>
        </w:rPr>
        <w:t>Risk Assessment</w:t>
      </w:r>
    </w:p>
    <w:p w:rsidR="00E64AE2" w:rsidRPr="00E64AE2" w:rsidRDefault="00E64AE2" w:rsidP="00E64AE2">
      <w:pPr>
        <w:kinsoku w:val="0"/>
        <w:overflowPunct w:val="0"/>
        <w:autoSpaceDE w:val="0"/>
        <w:autoSpaceDN w:val="0"/>
        <w:adjustRightInd w:val="0"/>
        <w:spacing w:before="268" w:after="0" w:line="240" w:lineRule="auto"/>
        <w:ind w:left="100" w:right="496"/>
        <w:rPr>
          <w:rFonts w:ascii="Times New Roman" w:hAnsi="Times New Roman" w:cs="Times New Roman"/>
          <w:sz w:val="24"/>
          <w:szCs w:val="24"/>
        </w:rPr>
      </w:pPr>
      <w:r w:rsidRPr="00E64AE2">
        <w:rPr>
          <w:rFonts w:ascii="Times New Roman" w:hAnsi="Times New Roman" w:cs="Times New Roman"/>
          <w:sz w:val="24"/>
          <w:szCs w:val="24"/>
        </w:rPr>
        <w:t xml:space="preserve">When evaluating the risks involved, organizations can choose to </w:t>
      </w:r>
      <w:r w:rsidRPr="00E64AE2">
        <w:rPr>
          <w:rFonts w:ascii="Times New Roman" w:hAnsi="Times New Roman" w:cs="Times New Roman"/>
          <w:b/>
          <w:bCs/>
          <w:sz w:val="24"/>
          <w:szCs w:val="24"/>
        </w:rPr>
        <w:t xml:space="preserve">accept, modify, transfer, or eliminate </w:t>
      </w:r>
      <w:r w:rsidRPr="00E64AE2">
        <w:rPr>
          <w:rFonts w:ascii="Times New Roman" w:hAnsi="Times New Roman" w:cs="Times New Roman"/>
          <w:sz w:val="24"/>
          <w:szCs w:val="24"/>
        </w:rPr>
        <w:t>the risks.</w:t>
      </w:r>
    </w:p>
    <w:p w:rsidR="00E64AE2" w:rsidRPr="00E64AE2" w:rsidRDefault="00E64AE2" w:rsidP="00E64AE2">
      <w:pPr>
        <w:numPr>
          <w:ilvl w:val="0"/>
          <w:numId w:val="1"/>
        </w:numPr>
        <w:tabs>
          <w:tab w:val="left" w:pos="821"/>
        </w:tabs>
        <w:kinsoku w:val="0"/>
        <w:overflowPunct w:val="0"/>
        <w:autoSpaceDE w:val="0"/>
        <w:autoSpaceDN w:val="0"/>
        <w:adjustRightInd w:val="0"/>
        <w:spacing w:after="0" w:line="240" w:lineRule="auto"/>
        <w:ind w:right="226" w:hanging="360"/>
        <w:rPr>
          <w:rFonts w:ascii="Times New Roman" w:hAnsi="Times New Roman" w:cs="Times New Roman"/>
          <w:sz w:val="24"/>
          <w:szCs w:val="24"/>
        </w:rPr>
      </w:pPr>
      <w:r w:rsidRPr="00E64AE2">
        <w:rPr>
          <w:rFonts w:ascii="Times New Roman" w:hAnsi="Times New Roman" w:cs="Times New Roman"/>
          <w:sz w:val="24"/>
          <w:szCs w:val="24"/>
        </w:rPr>
        <w:t xml:space="preserve">If an organization decides to </w:t>
      </w:r>
      <w:r w:rsidRPr="00E64AE2">
        <w:rPr>
          <w:rFonts w:ascii="Times New Roman" w:hAnsi="Times New Roman" w:cs="Times New Roman"/>
          <w:b/>
          <w:bCs/>
          <w:sz w:val="24"/>
          <w:szCs w:val="24"/>
        </w:rPr>
        <w:t>accept the risk</w:t>
      </w:r>
      <w:r w:rsidRPr="00E64AE2">
        <w:rPr>
          <w:rFonts w:ascii="Times New Roman" w:hAnsi="Times New Roman" w:cs="Times New Roman"/>
          <w:sz w:val="24"/>
          <w:szCs w:val="24"/>
        </w:rPr>
        <w:t>, they are willing to endure the consequences of that risk in order to conduct the activity. It is always important to have a response plan in place when choosing to accept risk of any</w:t>
      </w:r>
      <w:r w:rsidRPr="00E64AE2">
        <w:rPr>
          <w:rFonts w:ascii="Times New Roman" w:hAnsi="Times New Roman" w:cs="Times New Roman"/>
          <w:spacing w:val="-8"/>
          <w:sz w:val="24"/>
          <w:szCs w:val="24"/>
        </w:rPr>
        <w:t xml:space="preserve"> </w:t>
      </w:r>
      <w:r w:rsidRPr="00E64AE2">
        <w:rPr>
          <w:rFonts w:ascii="Times New Roman" w:hAnsi="Times New Roman" w:cs="Times New Roman"/>
          <w:sz w:val="24"/>
          <w:szCs w:val="24"/>
        </w:rPr>
        <w:t>level.</w:t>
      </w:r>
    </w:p>
    <w:p w:rsidR="00E64AE2" w:rsidRPr="00E64AE2" w:rsidRDefault="00E64AE2" w:rsidP="00E64AE2">
      <w:pPr>
        <w:kinsoku w:val="0"/>
        <w:overflowPunct w:val="0"/>
        <w:autoSpaceDE w:val="0"/>
        <w:autoSpaceDN w:val="0"/>
        <w:adjustRightInd w:val="0"/>
        <w:spacing w:after="0" w:line="240" w:lineRule="auto"/>
        <w:rPr>
          <w:rFonts w:ascii="Times New Roman" w:hAnsi="Times New Roman" w:cs="Times New Roman"/>
          <w:sz w:val="24"/>
          <w:szCs w:val="24"/>
        </w:rPr>
      </w:pPr>
    </w:p>
    <w:p w:rsidR="00E64AE2" w:rsidRPr="00E64AE2" w:rsidRDefault="00E64AE2" w:rsidP="00E64AE2">
      <w:pPr>
        <w:numPr>
          <w:ilvl w:val="0"/>
          <w:numId w:val="1"/>
        </w:numPr>
        <w:tabs>
          <w:tab w:val="left" w:pos="821"/>
        </w:tabs>
        <w:kinsoku w:val="0"/>
        <w:overflowPunct w:val="0"/>
        <w:autoSpaceDE w:val="0"/>
        <w:autoSpaceDN w:val="0"/>
        <w:adjustRightInd w:val="0"/>
        <w:spacing w:after="0" w:line="240" w:lineRule="auto"/>
        <w:ind w:right="110" w:hanging="360"/>
        <w:rPr>
          <w:rFonts w:ascii="Times New Roman" w:hAnsi="Times New Roman" w:cs="Times New Roman"/>
          <w:sz w:val="24"/>
          <w:szCs w:val="24"/>
        </w:rPr>
      </w:pPr>
      <w:r w:rsidRPr="00E64AE2">
        <w:rPr>
          <w:rFonts w:ascii="Times New Roman" w:hAnsi="Times New Roman" w:cs="Times New Roman"/>
          <w:sz w:val="24"/>
          <w:szCs w:val="24"/>
        </w:rPr>
        <w:t xml:space="preserve">If an organization chooses to </w:t>
      </w:r>
      <w:r w:rsidRPr="00E64AE2">
        <w:rPr>
          <w:rFonts w:ascii="Times New Roman" w:hAnsi="Times New Roman" w:cs="Times New Roman"/>
          <w:b/>
          <w:bCs/>
          <w:sz w:val="24"/>
          <w:szCs w:val="24"/>
        </w:rPr>
        <w:t xml:space="preserve">modify the activity </w:t>
      </w:r>
      <w:r w:rsidRPr="00E64AE2">
        <w:rPr>
          <w:rFonts w:ascii="Times New Roman" w:hAnsi="Times New Roman" w:cs="Times New Roman"/>
          <w:sz w:val="24"/>
          <w:szCs w:val="24"/>
        </w:rPr>
        <w:t>in an effort to minimize the impact of a risk, they should ask, “Who else can help us do this?” At Grand Valley State University, we have many staff, including advisors, that are available to help students with their event planning and decision making, and we encourage them to seek out additional assistance when</w:t>
      </w:r>
      <w:r w:rsidRPr="00E64AE2">
        <w:rPr>
          <w:rFonts w:ascii="Times New Roman" w:hAnsi="Times New Roman" w:cs="Times New Roman"/>
          <w:spacing w:val="-23"/>
          <w:sz w:val="24"/>
          <w:szCs w:val="24"/>
        </w:rPr>
        <w:t xml:space="preserve"> </w:t>
      </w:r>
      <w:r w:rsidRPr="00E64AE2">
        <w:rPr>
          <w:rFonts w:ascii="Times New Roman" w:hAnsi="Times New Roman" w:cs="Times New Roman"/>
          <w:sz w:val="24"/>
          <w:szCs w:val="24"/>
        </w:rPr>
        <w:t>necessary.</w:t>
      </w:r>
    </w:p>
    <w:p w:rsidR="00E64AE2" w:rsidRPr="00E64AE2" w:rsidRDefault="00E64AE2" w:rsidP="00E64AE2">
      <w:pPr>
        <w:kinsoku w:val="0"/>
        <w:overflowPunct w:val="0"/>
        <w:autoSpaceDE w:val="0"/>
        <w:autoSpaceDN w:val="0"/>
        <w:adjustRightInd w:val="0"/>
        <w:spacing w:before="8" w:after="0" w:line="240" w:lineRule="auto"/>
        <w:rPr>
          <w:rFonts w:ascii="Times New Roman" w:hAnsi="Times New Roman" w:cs="Times New Roman"/>
          <w:sz w:val="27"/>
          <w:szCs w:val="27"/>
        </w:rPr>
      </w:pPr>
    </w:p>
    <w:p w:rsidR="00E64AE2" w:rsidRPr="00E64AE2" w:rsidRDefault="00E64AE2" w:rsidP="00E64AE2">
      <w:pPr>
        <w:numPr>
          <w:ilvl w:val="0"/>
          <w:numId w:val="1"/>
        </w:numPr>
        <w:tabs>
          <w:tab w:val="left" w:pos="821"/>
        </w:tabs>
        <w:kinsoku w:val="0"/>
        <w:overflowPunct w:val="0"/>
        <w:autoSpaceDE w:val="0"/>
        <w:autoSpaceDN w:val="0"/>
        <w:adjustRightInd w:val="0"/>
        <w:spacing w:after="0" w:line="240" w:lineRule="auto"/>
        <w:ind w:right="105" w:hanging="360"/>
        <w:rPr>
          <w:rFonts w:ascii="Times New Roman" w:hAnsi="Times New Roman" w:cs="Times New Roman"/>
          <w:sz w:val="24"/>
          <w:szCs w:val="24"/>
        </w:rPr>
      </w:pPr>
      <w:r w:rsidRPr="00E64AE2">
        <w:rPr>
          <w:rFonts w:ascii="Times New Roman" w:hAnsi="Times New Roman" w:cs="Times New Roman"/>
          <w:b/>
          <w:bCs/>
          <w:sz w:val="24"/>
          <w:szCs w:val="24"/>
        </w:rPr>
        <w:t xml:space="preserve">Transferring risk </w:t>
      </w:r>
      <w:r w:rsidRPr="00E64AE2">
        <w:rPr>
          <w:rFonts w:ascii="Times New Roman" w:hAnsi="Times New Roman" w:cs="Times New Roman"/>
          <w:sz w:val="24"/>
          <w:szCs w:val="24"/>
        </w:rPr>
        <w:t>can be an appropriate option, and we encourage the organization to work with Student Life in order to determine the most effective way to do this. One common way to transfer risks includes securing insurance to cover the event. Student Life can assist in this process, but extra time may be needed in order to secure affordable insurance quotes for the</w:t>
      </w:r>
      <w:r w:rsidRPr="00E64AE2">
        <w:rPr>
          <w:rFonts w:ascii="Times New Roman" w:hAnsi="Times New Roman" w:cs="Times New Roman"/>
          <w:spacing w:val="-23"/>
          <w:sz w:val="24"/>
          <w:szCs w:val="24"/>
        </w:rPr>
        <w:t xml:space="preserve"> </w:t>
      </w:r>
      <w:r w:rsidRPr="00E64AE2">
        <w:rPr>
          <w:rFonts w:ascii="Times New Roman" w:hAnsi="Times New Roman" w:cs="Times New Roman"/>
          <w:sz w:val="24"/>
          <w:szCs w:val="24"/>
        </w:rPr>
        <w:t>organization.</w:t>
      </w:r>
    </w:p>
    <w:p w:rsidR="00E64AE2" w:rsidRPr="00E64AE2" w:rsidRDefault="00E64AE2" w:rsidP="00E64AE2">
      <w:pPr>
        <w:kinsoku w:val="0"/>
        <w:overflowPunct w:val="0"/>
        <w:autoSpaceDE w:val="0"/>
        <w:autoSpaceDN w:val="0"/>
        <w:adjustRightInd w:val="0"/>
        <w:spacing w:before="11" w:after="0" w:line="240" w:lineRule="auto"/>
        <w:rPr>
          <w:rFonts w:ascii="Times New Roman" w:hAnsi="Times New Roman" w:cs="Times New Roman"/>
          <w:sz w:val="23"/>
          <w:szCs w:val="23"/>
        </w:rPr>
      </w:pPr>
    </w:p>
    <w:p w:rsidR="00E64AE2" w:rsidRPr="00E64AE2" w:rsidRDefault="00E64AE2" w:rsidP="00E64AE2">
      <w:pPr>
        <w:numPr>
          <w:ilvl w:val="0"/>
          <w:numId w:val="1"/>
        </w:numPr>
        <w:tabs>
          <w:tab w:val="left" w:pos="821"/>
        </w:tabs>
        <w:kinsoku w:val="0"/>
        <w:overflowPunct w:val="0"/>
        <w:autoSpaceDE w:val="0"/>
        <w:autoSpaceDN w:val="0"/>
        <w:adjustRightInd w:val="0"/>
        <w:spacing w:after="0" w:line="240" w:lineRule="auto"/>
        <w:ind w:right="312" w:hanging="360"/>
        <w:rPr>
          <w:rFonts w:ascii="Times New Roman" w:hAnsi="Times New Roman" w:cs="Times New Roman"/>
          <w:sz w:val="24"/>
          <w:szCs w:val="24"/>
        </w:rPr>
      </w:pPr>
      <w:r w:rsidRPr="00E64AE2">
        <w:rPr>
          <w:rFonts w:ascii="Times New Roman" w:hAnsi="Times New Roman" w:cs="Times New Roman"/>
          <w:sz w:val="24"/>
          <w:szCs w:val="24"/>
        </w:rPr>
        <w:t xml:space="preserve">Finally, an organization may decide that the risks of an activity outweigh the benefits. In this case, </w:t>
      </w:r>
      <w:r w:rsidRPr="00E64AE2">
        <w:rPr>
          <w:rFonts w:ascii="Times New Roman" w:hAnsi="Times New Roman" w:cs="Times New Roman"/>
          <w:b/>
          <w:bCs/>
          <w:sz w:val="24"/>
          <w:szCs w:val="24"/>
        </w:rPr>
        <w:t xml:space="preserve">eliminating or avoiding the risk altogether </w:t>
      </w:r>
      <w:r w:rsidRPr="00E64AE2">
        <w:rPr>
          <w:rFonts w:ascii="Times New Roman" w:hAnsi="Times New Roman" w:cs="Times New Roman"/>
          <w:sz w:val="24"/>
          <w:szCs w:val="24"/>
        </w:rPr>
        <w:t>may be appropriate. It is important to note, however, that eliminating a risk does not necessarily mean eliminating the overall program, activity or event. The organization should ask, “How else can we accomplish our goals?” because there is likely a less risky</w:t>
      </w:r>
      <w:r w:rsidRPr="00E64AE2">
        <w:rPr>
          <w:rFonts w:ascii="Times New Roman" w:hAnsi="Times New Roman" w:cs="Times New Roman"/>
          <w:spacing w:val="-32"/>
          <w:sz w:val="24"/>
          <w:szCs w:val="24"/>
        </w:rPr>
        <w:t xml:space="preserve"> </w:t>
      </w:r>
      <w:r w:rsidRPr="00E64AE2">
        <w:rPr>
          <w:rFonts w:ascii="Times New Roman" w:hAnsi="Times New Roman" w:cs="Times New Roman"/>
          <w:sz w:val="24"/>
          <w:szCs w:val="24"/>
        </w:rPr>
        <w:t>alternative.</w:t>
      </w:r>
    </w:p>
    <w:p w:rsidR="006053BB" w:rsidRDefault="006053BB">
      <w:bookmarkStart w:id="0" w:name="_GoBack"/>
      <w:bookmarkEnd w:id="0"/>
    </w:p>
    <w:sectPr w:rsidR="006053BB" w:rsidSect="00E64AE2">
      <w:pgSz w:w="12240" w:h="15840"/>
      <w:pgMar w:top="1500" w:right="620" w:bottom="280" w:left="6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20" w:hanging="361"/>
      </w:pPr>
      <w:rPr>
        <w:rFonts w:ascii="Times New Roman" w:hAnsi="Times New Roman" w:cs="Times New Roman"/>
        <w:b w:val="0"/>
        <w:bCs w:val="0"/>
        <w:spacing w:val="-5"/>
        <w:w w:val="99"/>
        <w:sz w:val="24"/>
        <w:szCs w:val="24"/>
      </w:rPr>
    </w:lvl>
    <w:lvl w:ilvl="1">
      <w:numFmt w:val="bullet"/>
      <w:lvlText w:val="•"/>
      <w:lvlJc w:val="left"/>
      <w:pPr>
        <w:ind w:left="1838" w:hanging="361"/>
      </w:pPr>
    </w:lvl>
    <w:lvl w:ilvl="2">
      <w:numFmt w:val="bullet"/>
      <w:lvlText w:val="•"/>
      <w:lvlJc w:val="left"/>
      <w:pPr>
        <w:ind w:left="2856" w:hanging="361"/>
      </w:pPr>
    </w:lvl>
    <w:lvl w:ilvl="3">
      <w:numFmt w:val="bullet"/>
      <w:lvlText w:val="•"/>
      <w:lvlJc w:val="left"/>
      <w:pPr>
        <w:ind w:left="3874" w:hanging="361"/>
      </w:pPr>
    </w:lvl>
    <w:lvl w:ilvl="4">
      <w:numFmt w:val="bullet"/>
      <w:lvlText w:val="•"/>
      <w:lvlJc w:val="left"/>
      <w:pPr>
        <w:ind w:left="4892" w:hanging="361"/>
      </w:pPr>
    </w:lvl>
    <w:lvl w:ilvl="5">
      <w:numFmt w:val="bullet"/>
      <w:lvlText w:val="•"/>
      <w:lvlJc w:val="left"/>
      <w:pPr>
        <w:ind w:left="5910" w:hanging="361"/>
      </w:pPr>
    </w:lvl>
    <w:lvl w:ilvl="6">
      <w:numFmt w:val="bullet"/>
      <w:lvlText w:val="•"/>
      <w:lvlJc w:val="left"/>
      <w:pPr>
        <w:ind w:left="6928" w:hanging="361"/>
      </w:pPr>
    </w:lvl>
    <w:lvl w:ilvl="7">
      <w:numFmt w:val="bullet"/>
      <w:lvlText w:val="•"/>
      <w:lvlJc w:val="left"/>
      <w:pPr>
        <w:ind w:left="7946" w:hanging="361"/>
      </w:pPr>
    </w:lvl>
    <w:lvl w:ilvl="8">
      <w:numFmt w:val="bullet"/>
      <w:lvlText w:val="•"/>
      <w:lvlJc w:val="left"/>
      <w:pPr>
        <w:ind w:left="8964" w:hanging="3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E2"/>
    <w:rsid w:val="006053BB"/>
    <w:rsid w:val="00E6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2B72C-4F11-457D-8C25-8BC3FD0B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64AE2"/>
    <w:pPr>
      <w:autoSpaceDE w:val="0"/>
      <w:autoSpaceDN w:val="0"/>
      <w:adjustRightInd w:val="0"/>
      <w:spacing w:after="0" w:line="240" w:lineRule="auto"/>
      <w:ind w:left="820" w:hanging="36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E64AE2"/>
    <w:rPr>
      <w:rFonts w:ascii="Times New Roman" w:hAnsi="Times New Roman" w:cs="Times New Roman"/>
      <w:sz w:val="24"/>
      <w:szCs w:val="24"/>
    </w:rPr>
  </w:style>
  <w:style w:type="paragraph" w:styleId="ListParagraph">
    <w:name w:val="List Paragraph"/>
    <w:basedOn w:val="Normal"/>
    <w:uiPriority w:val="1"/>
    <w:qFormat/>
    <w:rsid w:val="00E64AE2"/>
    <w:pPr>
      <w:autoSpaceDE w:val="0"/>
      <w:autoSpaceDN w:val="0"/>
      <w:adjustRightInd w:val="0"/>
      <w:spacing w:after="0" w:line="240" w:lineRule="auto"/>
      <w:ind w:left="820" w:right="105" w:hanging="36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Mueller</dc:creator>
  <cp:keywords/>
  <dc:description/>
  <cp:lastModifiedBy>Austin Mueller</cp:lastModifiedBy>
  <cp:revision>1</cp:revision>
  <dcterms:created xsi:type="dcterms:W3CDTF">2016-11-29T17:28:00Z</dcterms:created>
  <dcterms:modified xsi:type="dcterms:W3CDTF">2016-11-29T17:29:00Z</dcterms:modified>
</cp:coreProperties>
</file>