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33" w:rsidRPr="0075521B" w:rsidRDefault="00BC5E25" w:rsidP="00BC5E25">
      <w:pPr>
        <w:spacing w:after="0" w:line="240" w:lineRule="auto"/>
        <w:rPr>
          <w:b/>
          <w:u w:val="single"/>
        </w:rPr>
      </w:pPr>
      <w:bookmarkStart w:id="0" w:name="_GoBack"/>
      <w:bookmarkEnd w:id="0"/>
      <w:r w:rsidRPr="0075521B">
        <w:rPr>
          <w:b/>
          <w:u w:val="single"/>
        </w:rPr>
        <w:t>What is STEM?</w:t>
      </w:r>
    </w:p>
    <w:p w:rsidR="00BC5E25" w:rsidRPr="0075521B" w:rsidRDefault="00BC5E25" w:rsidP="00BC5E25">
      <w:pPr>
        <w:spacing w:after="0" w:line="240" w:lineRule="auto"/>
      </w:pPr>
      <w:r w:rsidRPr="0075521B">
        <w:rPr>
          <w:b/>
          <w:bCs/>
          <w:lang w:val="en"/>
        </w:rPr>
        <w:t xml:space="preserve">STEM </w:t>
      </w:r>
      <w:r w:rsidRPr="0075521B">
        <w:rPr>
          <w:lang w:val="en"/>
        </w:rPr>
        <w:t xml:space="preserve">is an </w:t>
      </w:r>
      <w:hyperlink r:id="rId4" w:tooltip="Acronym" w:history="1">
        <w:r w:rsidRPr="0075521B">
          <w:rPr>
            <w:rStyle w:val="Hyperlink"/>
            <w:color w:val="auto"/>
            <w:u w:val="none"/>
            <w:lang w:val="en"/>
          </w:rPr>
          <w:t>acronym</w:t>
        </w:r>
      </w:hyperlink>
      <w:r w:rsidRPr="0075521B">
        <w:rPr>
          <w:lang w:val="en"/>
        </w:rPr>
        <w:t xml:space="preserve"> for the </w:t>
      </w:r>
      <w:hyperlink r:id="rId5" w:tooltip="Academic discipline" w:history="1">
        <w:r w:rsidRPr="0075521B">
          <w:rPr>
            <w:rStyle w:val="Hyperlink"/>
            <w:color w:val="auto"/>
            <w:u w:val="none"/>
            <w:lang w:val="en"/>
          </w:rPr>
          <w:t>fields of study</w:t>
        </w:r>
      </w:hyperlink>
      <w:r w:rsidR="00431F35" w:rsidRPr="0075521B">
        <w:t xml:space="preserve"> and careers</w:t>
      </w:r>
      <w:r w:rsidRPr="0075521B">
        <w:rPr>
          <w:lang w:val="en"/>
        </w:rPr>
        <w:t xml:space="preserve"> in the categories of </w:t>
      </w:r>
      <w:hyperlink r:id="rId6" w:tooltip="Science" w:history="1">
        <w:r w:rsidRPr="0075521B">
          <w:rPr>
            <w:rStyle w:val="Hyperlink"/>
            <w:color w:val="auto"/>
            <w:u w:val="none"/>
            <w:lang w:val="en"/>
          </w:rPr>
          <w:t>science</w:t>
        </w:r>
      </w:hyperlink>
      <w:r w:rsidRPr="0075521B">
        <w:rPr>
          <w:lang w:val="en"/>
        </w:rPr>
        <w:t xml:space="preserve">, </w:t>
      </w:r>
      <w:hyperlink r:id="rId7" w:tooltip="Technology" w:history="1">
        <w:r w:rsidRPr="0075521B">
          <w:rPr>
            <w:rStyle w:val="Hyperlink"/>
            <w:color w:val="auto"/>
            <w:u w:val="none"/>
            <w:lang w:val="en"/>
          </w:rPr>
          <w:t>technology</w:t>
        </w:r>
      </w:hyperlink>
      <w:r w:rsidRPr="0075521B">
        <w:rPr>
          <w:lang w:val="en"/>
        </w:rPr>
        <w:t xml:space="preserve">, </w:t>
      </w:r>
      <w:hyperlink r:id="rId8" w:tooltip="Engineering" w:history="1">
        <w:r w:rsidRPr="0075521B">
          <w:rPr>
            <w:rStyle w:val="Hyperlink"/>
            <w:color w:val="auto"/>
            <w:u w:val="none"/>
            <w:lang w:val="en"/>
          </w:rPr>
          <w:t>engineering</w:t>
        </w:r>
      </w:hyperlink>
      <w:r w:rsidRPr="0075521B">
        <w:rPr>
          <w:lang w:val="en"/>
        </w:rPr>
        <w:t xml:space="preserve">, and </w:t>
      </w:r>
      <w:hyperlink r:id="rId9" w:tooltip="Mathematics" w:history="1">
        <w:r w:rsidRPr="0075521B">
          <w:rPr>
            <w:rStyle w:val="Hyperlink"/>
            <w:color w:val="auto"/>
            <w:u w:val="none"/>
            <w:lang w:val="en"/>
          </w:rPr>
          <w:t>mathematics</w:t>
        </w:r>
      </w:hyperlink>
      <w:r w:rsidR="0075521B">
        <w:rPr>
          <w:rStyle w:val="Hyperlink"/>
          <w:color w:val="auto"/>
          <w:u w:val="none"/>
          <w:lang w:val="en"/>
        </w:rPr>
        <w:t>.</w:t>
      </w:r>
    </w:p>
    <w:p w:rsidR="00BC5E25" w:rsidRDefault="00BC5E25" w:rsidP="00BC5E25">
      <w:pPr>
        <w:spacing w:after="0" w:line="240" w:lineRule="auto"/>
      </w:pPr>
    </w:p>
    <w:p w:rsidR="0075521B" w:rsidRDefault="00BC5E25" w:rsidP="00BC5E25">
      <w:pPr>
        <w:spacing w:after="0" w:line="240" w:lineRule="auto"/>
        <w:rPr>
          <w:b/>
          <w:u w:val="single"/>
        </w:rPr>
      </w:pPr>
      <w:r w:rsidRPr="0075521B">
        <w:rPr>
          <w:b/>
          <w:u w:val="single"/>
        </w:rPr>
        <w:t>What is STEM Literacy?</w:t>
      </w:r>
    </w:p>
    <w:p w:rsidR="00BC5E25" w:rsidRPr="0075521B" w:rsidRDefault="00BC5E25" w:rsidP="00BC5E25">
      <w:pPr>
        <w:spacing w:after="0" w:line="240" w:lineRule="auto"/>
        <w:rPr>
          <w:b/>
          <w:u w:val="single"/>
        </w:rPr>
      </w:pPr>
      <w:r w:rsidRPr="00BC5E25">
        <w:rPr>
          <w:lang w:val="en"/>
        </w:rPr>
        <w:t xml:space="preserve">A common definition of STEM literacy is: </w:t>
      </w:r>
      <w:r w:rsidRPr="0075521B">
        <w:rPr>
          <w:i/>
          <w:lang w:val="en"/>
        </w:rPr>
        <w:t xml:space="preserve">“STEM literacy is the ability to identify, apply, and integrate concepts from science, technology, engineering, and mathematics to understand complex problems and to innovate to solve them” </w:t>
      </w:r>
      <w:r w:rsidRPr="00BC5E25">
        <w:rPr>
          <w:lang w:val="en"/>
        </w:rPr>
        <w:t>(</w:t>
      </w:r>
      <w:proofErr w:type="spellStart"/>
      <w:r w:rsidRPr="00BC5E25">
        <w:rPr>
          <w:lang w:val="en"/>
        </w:rPr>
        <w:fldChar w:fldCharType="begin"/>
      </w:r>
      <w:r w:rsidRPr="00BC5E25">
        <w:rPr>
          <w:lang w:val="en"/>
        </w:rPr>
        <w:instrText xml:space="preserve"> HYPERLINK "http://onlinelibrary.wiley.com/doi/10.1111/j.1949-8594.2012.00101.x/full" \l "b3" \o "Link to bibliographic citation" </w:instrText>
      </w:r>
      <w:r w:rsidRPr="00BC5E25">
        <w:rPr>
          <w:lang w:val="en"/>
        </w:rPr>
        <w:fldChar w:fldCharType="separate"/>
      </w:r>
      <w:r w:rsidRPr="00BC5E25">
        <w:rPr>
          <w:rStyle w:val="Hyperlink"/>
          <w:lang w:val="en"/>
        </w:rPr>
        <w:t>Balka</w:t>
      </w:r>
      <w:proofErr w:type="spellEnd"/>
      <w:r w:rsidRPr="00BC5E25">
        <w:rPr>
          <w:rStyle w:val="Hyperlink"/>
          <w:lang w:val="en"/>
        </w:rPr>
        <w:t>, 2011</w:t>
      </w:r>
      <w:r w:rsidRPr="00BC5E25">
        <w:fldChar w:fldCharType="end"/>
      </w:r>
      <w:r w:rsidRPr="00BC5E25">
        <w:rPr>
          <w:lang w:val="en"/>
        </w:rPr>
        <w:t>, p. 7). This definition is limited to societal and economic needs, but is lacking in personal needs.</w:t>
      </w:r>
    </w:p>
    <w:p w:rsidR="00BC5E25" w:rsidRDefault="00BC5E25" w:rsidP="00BC5E25">
      <w:pPr>
        <w:spacing w:after="0" w:line="240" w:lineRule="auto"/>
      </w:pPr>
    </w:p>
    <w:tbl>
      <w:tblPr>
        <w:tblW w:w="4975" w:type="pct"/>
        <w:tblCellSpacing w:w="1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553"/>
        <w:gridCol w:w="2061"/>
        <w:gridCol w:w="6475"/>
      </w:tblGrid>
      <w:tr w:rsidR="00BC5E25" w:rsidRPr="00BC5E25" w:rsidTr="00BC5E25">
        <w:trPr>
          <w:trHeight w:val="509"/>
          <w:tblCellSpacing w:w="15" w:type="dxa"/>
        </w:trPr>
        <w:tc>
          <w:tcPr>
            <w:tcW w:w="0" w:type="auto"/>
            <w:gridSpan w:val="3"/>
            <w:vMerge w:val="restart"/>
            <w:tcBorders>
              <w:top w:val="nil"/>
              <w:left w:val="nil"/>
              <w:bottom w:val="nil"/>
              <w:right w:val="nil"/>
            </w:tcBorders>
            <w:tcMar>
              <w:top w:w="72" w:type="dxa"/>
              <w:left w:w="0" w:type="dxa"/>
              <w:bottom w:w="72" w:type="dxa"/>
              <w:right w:w="0" w:type="dxa"/>
            </w:tcMar>
            <w:vAlign w:val="center"/>
            <w:hideMark/>
          </w:tcPr>
          <w:p w:rsidR="00BC5E25" w:rsidRPr="00BC5E25" w:rsidRDefault="00BC5E25" w:rsidP="00BC5E25">
            <w:pPr>
              <w:spacing w:after="0" w:line="240" w:lineRule="auto"/>
              <w:rPr>
                <w:b/>
                <w:bCs/>
                <w:sz w:val="20"/>
                <w:szCs w:val="20"/>
              </w:rPr>
            </w:pPr>
            <w:r w:rsidRPr="00BC5E25">
              <w:rPr>
                <w:b/>
                <w:bCs/>
                <w:sz w:val="20"/>
                <w:szCs w:val="20"/>
              </w:rPr>
              <w:t>Table 1. </w:t>
            </w:r>
            <w:r w:rsidRPr="00BC5E25">
              <w:rPr>
                <w:b/>
                <w:bCs/>
                <w:i/>
                <w:iCs/>
                <w:sz w:val="20"/>
                <w:szCs w:val="20"/>
              </w:rPr>
              <w:t>Literacy Definitions of Professional Organizations</w:t>
            </w:r>
          </w:p>
        </w:tc>
      </w:tr>
      <w:tr w:rsidR="00BC5E25" w:rsidRPr="00BC5E25" w:rsidTr="002C758F">
        <w:trPr>
          <w:tblCellSpacing w:w="15" w:type="dxa"/>
        </w:trPr>
        <w:tc>
          <w:tcPr>
            <w:tcW w:w="0" w:type="auto"/>
            <w:vMerge w:val="restart"/>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Scientific Literacy</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National Science Education Standards (1996)</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Knowledge and understanding of scientific concepts and processes required for personal decision making, participation in civic and cultural affairs, and economic productivity</w:t>
            </w:r>
          </w:p>
        </w:tc>
      </w:tr>
      <w:tr w:rsidR="00BC5E25" w:rsidRPr="00BC5E25" w:rsidTr="002C758F">
        <w:trPr>
          <w:trHeight w:val="1101"/>
          <w:tblCellSpacing w:w="15" w:type="dxa"/>
        </w:trPr>
        <w:tc>
          <w:tcPr>
            <w:tcW w:w="0" w:type="auto"/>
            <w:vMerge/>
            <w:shd w:val="clear" w:color="auto" w:fill="B8CCE4" w:themeFill="accent1" w:themeFillTint="66"/>
            <w:vAlign w:val="center"/>
            <w:hideMark/>
          </w:tcPr>
          <w:p w:rsidR="00BC5E25" w:rsidRPr="00BC5E25" w:rsidRDefault="00BC5E25" w:rsidP="00BC5E25">
            <w:pPr>
              <w:spacing w:after="0" w:line="240" w:lineRule="auto"/>
              <w:rPr>
                <w:sz w:val="20"/>
                <w:szCs w:val="20"/>
              </w:rPr>
            </w:pP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0" w:anchor="b27" w:tooltip="Link to bibliographic citation" w:history="1">
              <w:r w:rsidR="00BC5E25" w:rsidRPr="00BC5E25">
                <w:rPr>
                  <w:rStyle w:val="Hyperlink"/>
                  <w:sz w:val="20"/>
                  <w:szCs w:val="20"/>
                </w:rPr>
                <w:t>Organization for Economic Cooperation and Development (2003</w:t>
              </w:r>
            </w:hyperlink>
            <w:r w:rsidR="00BC5E25" w:rsidRPr="00BC5E25">
              <w:rPr>
                <w:sz w:val="20"/>
                <w:szCs w:val="20"/>
              </w:rPr>
              <w:t>)</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Ability to use scientific knowledge (in physics, chemistry, biological sciences, and earth/space sciences) and processes to understand, and additionally, to participate in decisions that affect science in life and health, earth and environment, and technology</w:t>
            </w:r>
          </w:p>
        </w:tc>
      </w:tr>
      <w:tr w:rsidR="00BC5E25" w:rsidRPr="00BC5E25" w:rsidTr="00BC5E25">
        <w:trPr>
          <w:tblCellSpacing w:w="15" w:type="dxa"/>
        </w:trPr>
        <w:tc>
          <w:tcPr>
            <w:tcW w:w="0" w:type="auto"/>
            <w:vMerge w:val="restart"/>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Technological Literacy</w:t>
            </w:r>
          </w:p>
        </w:tc>
        <w:tc>
          <w:tcPr>
            <w:tcW w:w="0" w:type="auto"/>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1" w:anchor="b23" w:tooltip="Link to bibliographic citation" w:history="1">
              <w:r w:rsidR="00BC5E25" w:rsidRPr="00BC5E25">
                <w:rPr>
                  <w:rStyle w:val="Hyperlink"/>
                  <w:sz w:val="20"/>
                  <w:szCs w:val="20"/>
                </w:rPr>
                <w:t>National Assessment Governing Board (2010</w:t>
              </w:r>
            </w:hyperlink>
            <w:r w:rsidR="00BC5E25" w:rsidRPr="00BC5E25">
              <w:rPr>
                <w:sz w:val="20"/>
                <w:szCs w:val="20"/>
              </w:rPr>
              <w:t>)</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Capacity to use, understand, and evaluate technology, as well as to understand technological principles and strategies needed to develop solutions and achieve goals</w:t>
            </w:r>
          </w:p>
        </w:tc>
      </w:tr>
      <w:tr w:rsidR="00BC5E25" w:rsidRPr="00BC5E25" w:rsidTr="00BC5E25">
        <w:trPr>
          <w:tblCellSpacing w:w="15" w:type="dxa"/>
        </w:trPr>
        <w:tc>
          <w:tcPr>
            <w:tcW w:w="0" w:type="auto"/>
            <w:vMerge/>
            <w:vAlign w:val="center"/>
            <w:hideMark/>
          </w:tcPr>
          <w:p w:rsidR="00BC5E25" w:rsidRPr="00BC5E25" w:rsidRDefault="00BC5E25" w:rsidP="00BC5E25">
            <w:pPr>
              <w:spacing w:after="0" w:line="240" w:lineRule="auto"/>
              <w:rPr>
                <w:sz w:val="20"/>
                <w:szCs w:val="20"/>
              </w:rPr>
            </w:pPr>
          </w:p>
        </w:tc>
        <w:tc>
          <w:tcPr>
            <w:tcW w:w="0" w:type="auto"/>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2" w:anchor="b14" w:tooltip="Link to bibliographic citation" w:history="1">
              <w:r w:rsidR="00BC5E25" w:rsidRPr="00BC5E25">
                <w:rPr>
                  <w:rStyle w:val="Hyperlink"/>
                  <w:sz w:val="20"/>
                  <w:szCs w:val="20"/>
                </w:rPr>
                <w:t>International Society for Technology in Education (2000</w:t>
              </w:r>
            </w:hyperlink>
            <w:r w:rsidR="00BC5E25" w:rsidRPr="00BC5E25">
              <w:rPr>
                <w:sz w:val="20"/>
                <w:szCs w:val="20"/>
              </w:rPr>
              <w:t>)</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Ability to demonstrate creativity and innovation, communicate and collaborate, conduct research and use information, think critically, solve problems, make decisions, and use technology effectively and productively</w:t>
            </w:r>
          </w:p>
        </w:tc>
      </w:tr>
      <w:tr w:rsidR="00BC5E25" w:rsidRPr="00BC5E25" w:rsidTr="00BC5E25">
        <w:trPr>
          <w:tblCellSpacing w:w="15" w:type="dxa"/>
        </w:trPr>
        <w:tc>
          <w:tcPr>
            <w:tcW w:w="0" w:type="auto"/>
            <w:vMerge/>
            <w:vAlign w:val="center"/>
            <w:hideMark/>
          </w:tcPr>
          <w:p w:rsidR="00BC5E25" w:rsidRPr="00BC5E25" w:rsidRDefault="00BC5E25" w:rsidP="00BC5E25">
            <w:pPr>
              <w:spacing w:after="0" w:line="240" w:lineRule="auto"/>
              <w:rPr>
                <w:sz w:val="20"/>
                <w:szCs w:val="20"/>
              </w:rPr>
            </w:pPr>
          </w:p>
        </w:tc>
        <w:tc>
          <w:tcPr>
            <w:tcW w:w="0" w:type="auto"/>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3" w:anchor="b15" w:tooltip="Link to bibliographic citation" w:history="1">
              <w:r w:rsidR="00BC5E25" w:rsidRPr="00BC5E25">
                <w:rPr>
                  <w:rStyle w:val="Hyperlink"/>
                  <w:sz w:val="20"/>
                  <w:szCs w:val="20"/>
                </w:rPr>
                <w:t>International Technology Education Association (2007</w:t>
              </w:r>
            </w:hyperlink>
            <w:r w:rsidR="00BC5E25" w:rsidRPr="00BC5E25">
              <w:rPr>
                <w:sz w:val="20"/>
                <w:szCs w:val="20"/>
              </w:rPr>
              <w:t>)</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Ability to understand, in increasing sophistication over time, how technology is created and how it shapes society, and further, is shaped by society</w:t>
            </w:r>
          </w:p>
        </w:tc>
      </w:tr>
      <w:tr w:rsidR="00BC5E25" w:rsidRPr="00BC5E25" w:rsidTr="002C758F">
        <w:trPr>
          <w:tblCellSpacing w:w="15" w:type="dxa"/>
        </w:trPr>
        <w:tc>
          <w:tcPr>
            <w:tcW w:w="0" w:type="auto"/>
            <w:vMerge w:val="restart"/>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Engineering Literacy</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4" w:anchor="b27" w:tooltip="Link to bibliographic citation" w:history="1">
              <w:r w:rsidR="00BC5E25" w:rsidRPr="00BC5E25">
                <w:rPr>
                  <w:rStyle w:val="Hyperlink"/>
                  <w:sz w:val="20"/>
                  <w:szCs w:val="20"/>
                </w:rPr>
                <w:t>Organization for Economic Cooperation and Development (2003</w:t>
              </w:r>
            </w:hyperlink>
            <w:r w:rsidR="00BC5E25" w:rsidRPr="00BC5E25">
              <w:rPr>
                <w:sz w:val="20"/>
                <w:szCs w:val="20"/>
              </w:rPr>
              <w:t>)</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Ability to systematically and creatively apply scientific and mathematical principles to practical ends such as the design, manufacture, and operation of efficient and economical structures, machines, processes, and systems</w:t>
            </w:r>
          </w:p>
        </w:tc>
      </w:tr>
      <w:tr w:rsidR="00BC5E25" w:rsidRPr="00BC5E25" w:rsidTr="002C758F">
        <w:trPr>
          <w:tblCellSpacing w:w="15" w:type="dxa"/>
        </w:trPr>
        <w:tc>
          <w:tcPr>
            <w:tcW w:w="0" w:type="auto"/>
            <w:vMerge/>
            <w:shd w:val="clear" w:color="auto" w:fill="B8CCE4" w:themeFill="accent1" w:themeFillTint="66"/>
            <w:vAlign w:val="center"/>
            <w:hideMark/>
          </w:tcPr>
          <w:p w:rsidR="00BC5E25" w:rsidRPr="00BC5E25" w:rsidRDefault="00BC5E25" w:rsidP="00BC5E25">
            <w:pPr>
              <w:spacing w:after="0" w:line="240" w:lineRule="auto"/>
              <w:rPr>
                <w:sz w:val="20"/>
                <w:szCs w:val="20"/>
              </w:rPr>
            </w:pP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5" w:anchor="b1" w:tooltip="Link to bibliographic citation" w:history="1">
              <w:r w:rsidR="00BC5E25" w:rsidRPr="00BC5E25">
                <w:rPr>
                  <w:rStyle w:val="Hyperlink"/>
                  <w:sz w:val="20"/>
                  <w:szCs w:val="20"/>
                </w:rPr>
                <w:t>Accreditation Board for Engineering and Technology (2010</w:t>
              </w:r>
            </w:hyperlink>
            <w:r w:rsidR="00BC5E25" w:rsidRPr="00BC5E25">
              <w:rPr>
                <w:sz w:val="20"/>
                <w:szCs w:val="20"/>
              </w:rPr>
              <w:t>)</w:t>
            </w:r>
          </w:p>
        </w:tc>
        <w:tc>
          <w:tcPr>
            <w:tcW w:w="0" w:type="auto"/>
            <w:shd w:val="clear" w:color="auto" w:fill="B8CCE4" w:themeFill="accent1" w:themeFillTint="66"/>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Knowledge of the mathematical and natural sciences gained by study, experience, and practices that is applied to develop ways to utilize economically the materials and forces of nature for the benefit of mankind</w:t>
            </w:r>
          </w:p>
        </w:tc>
      </w:tr>
      <w:tr w:rsidR="00BC5E25" w:rsidRPr="00BC5E25" w:rsidTr="00BC5E25">
        <w:trPr>
          <w:tblCellSpacing w:w="15" w:type="dxa"/>
        </w:trPr>
        <w:tc>
          <w:tcPr>
            <w:tcW w:w="0" w:type="auto"/>
            <w:vMerge w:val="restart"/>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Mathematical Literacy (Numeracy)</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Program for International Student Assessment (2006)</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Capacity to identify, understand, and engage in mathematics, and to make well-founded judgments about the role that mathematics plays in an individual's current and future private life, occupational life, social life with peers and relatives, and life as a constructive, concerned, and reflective citizen</w:t>
            </w:r>
          </w:p>
        </w:tc>
      </w:tr>
      <w:tr w:rsidR="00BC5E25" w:rsidRPr="00BC5E25" w:rsidTr="00BC5E25">
        <w:trPr>
          <w:tblCellSpacing w:w="15" w:type="dxa"/>
        </w:trPr>
        <w:tc>
          <w:tcPr>
            <w:tcW w:w="0" w:type="auto"/>
            <w:vMerge/>
            <w:vAlign w:val="center"/>
            <w:hideMark/>
          </w:tcPr>
          <w:p w:rsidR="00BC5E25" w:rsidRPr="00BC5E25" w:rsidRDefault="00BC5E25" w:rsidP="00BC5E25">
            <w:pPr>
              <w:spacing w:after="0" w:line="240" w:lineRule="auto"/>
              <w:rPr>
                <w:sz w:val="20"/>
                <w:szCs w:val="20"/>
              </w:rPr>
            </w:pPr>
          </w:p>
        </w:tc>
        <w:tc>
          <w:tcPr>
            <w:tcW w:w="0" w:type="auto"/>
            <w:tcMar>
              <w:top w:w="72" w:type="dxa"/>
              <w:left w:w="0" w:type="dxa"/>
              <w:bottom w:w="72" w:type="dxa"/>
              <w:right w:w="0" w:type="dxa"/>
            </w:tcMar>
            <w:vAlign w:val="center"/>
            <w:hideMark/>
          </w:tcPr>
          <w:p w:rsidR="00BC5E25" w:rsidRPr="00BC5E25" w:rsidRDefault="00B416E3" w:rsidP="00BC5E25">
            <w:pPr>
              <w:spacing w:after="0" w:line="240" w:lineRule="auto"/>
              <w:rPr>
                <w:sz w:val="20"/>
                <w:szCs w:val="20"/>
              </w:rPr>
            </w:pPr>
            <w:hyperlink r:id="rId16" w:anchor="b25" w:tooltip="Link to bibliographic citation" w:history="1">
              <w:r w:rsidR="00BC5E25" w:rsidRPr="00BC5E25">
                <w:rPr>
                  <w:rStyle w:val="Hyperlink"/>
                  <w:sz w:val="20"/>
                  <w:szCs w:val="20"/>
                </w:rPr>
                <w:t>National Council of Teachers of Mathematics (2000</w:t>
              </w:r>
            </w:hyperlink>
            <w:r w:rsidR="00BC5E25" w:rsidRPr="00BC5E25">
              <w:rPr>
                <w:sz w:val="20"/>
                <w:szCs w:val="20"/>
              </w:rPr>
              <w:t>)</w:t>
            </w:r>
          </w:p>
        </w:tc>
        <w:tc>
          <w:tcPr>
            <w:tcW w:w="0" w:type="auto"/>
            <w:tcMar>
              <w:top w:w="72" w:type="dxa"/>
              <w:left w:w="0" w:type="dxa"/>
              <w:bottom w:w="72" w:type="dxa"/>
              <w:right w:w="0" w:type="dxa"/>
            </w:tcMar>
            <w:vAlign w:val="center"/>
            <w:hideMark/>
          </w:tcPr>
          <w:p w:rsidR="00BC5E25" w:rsidRPr="00BC5E25" w:rsidRDefault="00BC5E25" w:rsidP="00BC5E25">
            <w:pPr>
              <w:spacing w:after="0" w:line="240" w:lineRule="auto"/>
              <w:rPr>
                <w:sz w:val="20"/>
                <w:szCs w:val="20"/>
              </w:rPr>
            </w:pPr>
            <w:r w:rsidRPr="00BC5E25">
              <w:rPr>
                <w:sz w:val="20"/>
                <w:szCs w:val="20"/>
              </w:rPr>
              <w:t>Ability to read, listen, think creatively, and communicate about problem situations, mathematical representations, and solutions to develop and deepen their understanding of mathematics</w:t>
            </w:r>
          </w:p>
        </w:tc>
      </w:tr>
    </w:tbl>
    <w:p w:rsidR="00BC5E25" w:rsidRDefault="00BC5E25" w:rsidP="00BC5E25">
      <w:pPr>
        <w:spacing w:after="0" w:line="240" w:lineRule="auto"/>
      </w:pPr>
    </w:p>
    <w:p w:rsidR="0075521B" w:rsidRDefault="0075521B" w:rsidP="00BC5E25">
      <w:pPr>
        <w:spacing w:after="0" w:line="240" w:lineRule="auto"/>
      </w:pPr>
      <w:r>
        <w:t xml:space="preserve">From </w:t>
      </w:r>
      <w:proofErr w:type="spellStart"/>
      <w:r>
        <w:t>Zollman</w:t>
      </w:r>
      <w:proofErr w:type="spellEnd"/>
      <w:r>
        <w:t xml:space="preserve">, A. (2012), Learning for STEM Literacy:  STEM Literacy for Learning.  School Science and Mathematics, 112:  12-19. </w:t>
      </w:r>
      <w:proofErr w:type="spellStart"/>
      <w:r>
        <w:t>Doi</w:t>
      </w:r>
      <w:proofErr w:type="spellEnd"/>
      <w:r>
        <w:t>: 10.1111/j.1949-8594.2012.00101.x</w:t>
      </w:r>
    </w:p>
    <w:p w:rsidR="00BC5E25" w:rsidRDefault="00B416E3" w:rsidP="00BC5E25">
      <w:pPr>
        <w:spacing w:after="0" w:line="240" w:lineRule="auto"/>
      </w:pPr>
      <w:hyperlink r:id="rId17" w:history="1">
        <w:r w:rsidR="00BC5E25" w:rsidRPr="00785A32">
          <w:rPr>
            <w:rStyle w:val="Hyperlink"/>
          </w:rPr>
          <w:t>http://onlinelibrary.wiley.com/doi/10.1111/j.1949-8594.2012.00101.x/full</w:t>
        </w:r>
      </w:hyperlink>
      <w:r w:rsidR="00BC5E25">
        <w:t xml:space="preserve"> </w:t>
      </w:r>
    </w:p>
    <w:sectPr w:rsidR="00BC5E25" w:rsidSect="00BC5E2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25"/>
    <w:rsid w:val="002C758F"/>
    <w:rsid w:val="00431F35"/>
    <w:rsid w:val="0075521B"/>
    <w:rsid w:val="00B416E3"/>
    <w:rsid w:val="00BC5E25"/>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E634C-F536-4432-A6B4-EA171E62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25"/>
    <w:rPr>
      <w:color w:val="0000FF" w:themeColor="hyperlink"/>
      <w:u w:val="single"/>
    </w:rPr>
  </w:style>
  <w:style w:type="character" w:styleId="FollowedHyperlink">
    <w:name w:val="FollowedHyperlink"/>
    <w:basedOn w:val="DefaultParagraphFont"/>
    <w:uiPriority w:val="99"/>
    <w:semiHidden/>
    <w:unhideWhenUsed/>
    <w:rsid w:val="0075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30846">
      <w:bodyDiv w:val="1"/>
      <w:marLeft w:val="0"/>
      <w:marRight w:val="0"/>
      <w:marTop w:val="0"/>
      <w:marBottom w:val="0"/>
      <w:divBdr>
        <w:top w:val="none" w:sz="0" w:space="0" w:color="auto"/>
        <w:left w:val="none" w:sz="0" w:space="0" w:color="auto"/>
        <w:bottom w:val="none" w:sz="0" w:space="0" w:color="auto"/>
        <w:right w:val="none" w:sz="0" w:space="0" w:color="auto"/>
      </w:divBdr>
      <w:divsChild>
        <w:div w:id="544681959">
          <w:marLeft w:val="0"/>
          <w:marRight w:val="0"/>
          <w:marTop w:val="0"/>
          <w:marBottom w:val="0"/>
          <w:divBdr>
            <w:top w:val="none" w:sz="0" w:space="0" w:color="auto"/>
            <w:left w:val="none" w:sz="0" w:space="0" w:color="auto"/>
            <w:bottom w:val="none" w:sz="0" w:space="0" w:color="auto"/>
            <w:right w:val="none" w:sz="0" w:space="0" w:color="auto"/>
          </w:divBdr>
          <w:divsChild>
            <w:div w:id="361790460">
              <w:marLeft w:val="0"/>
              <w:marRight w:val="0"/>
              <w:marTop w:val="0"/>
              <w:marBottom w:val="0"/>
              <w:divBdr>
                <w:top w:val="none" w:sz="0" w:space="0" w:color="auto"/>
                <w:left w:val="none" w:sz="0" w:space="0" w:color="auto"/>
                <w:bottom w:val="none" w:sz="0" w:space="0" w:color="auto"/>
                <w:right w:val="none" w:sz="0" w:space="0" w:color="auto"/>
              </w:divBdr>
              <w:divsChild>
                <w:div w:id="1316228174">
                  <w:marLeft w:val="0"/>
                  <w:marRight w:val="0"/>
                  <w:marTop w:val="0"/>
                  <w:marBottom w:val="0"/>
                  <w:divBdr>
                    <w:top w:val="none" w:sz="0" w:space="0" w:color="auto"/>
                    <w:left w:val="none" w:sz="0" w:space="0" w:color="auto"/>
                    <w:bottom w:val="none" w:sz="0" w:space="0" w:color="auto"/>
                    <w:right w:val="none" w:sz="0" w:space="0" w:color="auto"/>
                  </w:divBdr>
                  <w:divsChild>
                    <w:div w:id="941567872">
                      <w:marLeft w:val="0"/>
                      <w:marRight w:val="0"/>
                      <w:marTop w:val="0"/>
                      <w:marBottom w:val="0"/>
                      <w:divBdr>
                        <w:top w:val="none" w:sz="0" w:space="0" w:color="auto"/>
                        <w:left w:val="none" w:sz="0" w:space="0" w:color="auto"/>
                        <w:bottom w:val="none" w:sz="0" w:space="0" w:color="auto"/>
                        <w:right w:val="none" w:sz="0" w:space="0" w:color="auto"/>
                      </w:divBdr>
                      <w:divsChild>
                        <w:div w:id="1202212400">
                          <w:marLeft w:val="0"/>
                          <w:marRight w:val="0"/>
                          <w:marTop w:val="0"/>
                          <w:marBottom w:val="0"/>
                          <w:divBdr>
                            <w:top w:val="none" w:sz="0" w:space="0" w:color="auto"/>
                            <w:left w:val="none" w:sz="0" w:space="0" w:color="auto"/>
                            <w:bottom w:val="none" w:sz="0" w:space="0" w:color="auto"/>
                            <w:right w:val="none" w:sz="0" w:space="0" w:color="auto"/>
                          </w:divBdr>
                          <w:divsChild>
                            <w:div w:id="1234773687">
                              <w:marLeft w:val="0"/>
                              <w:marRight w:val="0"/>
                              <w:marTop w:val="0"/>
                              <w:marBottom w:val="0"/>
                              <w:divBdr>
                                <w:top w:val="none" w:sz="0" w:space="0" w:color="auto"/>
                                <w:left w:val="none" w:sz="0" w:space="0" w:color="auto"/>
                                <w:bottom w:val="none" w:sz="0" w:space="0" w:color="auto"/>
                                <w:right w:val="none" w:sz="0" w:space="0" w:color="auto"/>
                              </w:divBdr>
                              <w:divsChild>
                                <w:div w:id="19533663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816714">
      <w:bodyDiv w:val="1"/>
      <w:marLeft w:val="0"/>
      <w:marRight w:val="0"/>
      <w:marTop w:val="0"/>
      <w:marBottom w:val="0"/>
      <w:divBdr>
        <w:top w:val="none" w:sz="0" w:space="0" w:color="auto"/>
        <w:left w:val="none" w:sz="0" w:space="0" w:color="auto"/>
        <w:bottom w:val="none" w:sz="0" w:space="0" w:color="auto"/>
        <w:right w:val="none" w:sz="0" w:space="0" w:color="auto"/>
      </w:divBdr>
      <w:divsChild>
        <w:div w:id="1887796783">
          <w:marLeft w:val="0"/>
          <w:marRight w:val="0"/>
          <w:marTop w:val="0"/>
          <w:marBottom w:val="0"/>
          <w:divBdr>
            <w:top w:val="none" w:sz="0" w:space="0" w:color="auto"/>
            <w:left w:val="none" w:sz="0" w:space="0" w:color="auto"/>
            <w:bottom w:val="none" w:sz="0" w:space="0" w:color="auto"/>
            <w:right w:val="none" w:sz="0" w:space="0" w:color="auto"/>
          </w:divBdr>
          <w:divsChild>
            <w:div w:id="1434131911">
              <w:marLeft w:val="0"/>
              <w:marRight w:val="0"/>
              <w:marTop w:val="0"/>
              <w:marBottom w:val="0"/>
              <w:divBdr>
                <w:top w:val="none" w:sz="0" w:space="0" w:color="auto"/>
                <w:left w:val="none" w:sz="0" w:space="0" w:color="auto"/>
                <w:bottom w:val="none" w:sz="0" w:space="0" w:color="auto"/>
                <w:right w:val="none" w:sz="0" w:space="0" w:color="auto"/>
              </w:divBdr>
              <w:divsChild>
                <w:div w:id="507334400">
                  <w:marLeft w:val="0"/>
                  <w:marRight w:val="0"/>
                  <w:marTop w:val="0"/>
                  <w:marBottom w:val="0"/>
                  <w:divBdr>
                    <w:top w:val="none" w:sz="0" w:space="0" w:color="auto"/>
                    <w:left w:val="none" w:sz="0" w:space="0" w:color="auto"/>
                    <w:bottom w:val="none" w:sz="0" w:space="0" w:color="auto"/>
                    <w:right w:val="none" w:sz="0" w:space="0" w:color="auto"/>
                  </w:divBdr>
                  <w:divsChild>
                    <w:div w:id="483667205">
                      <w:marLeft w:val="0"/>
                      <w:marRight w:val="0"/>
                      <w:marTop w:val="0"/>
                      <w:marBottom w:val="0"/>
                      <w:divBdr>
                        <w:top w:val="none" w:sz="0" w:space="0" w:color="auto"/>
                        <w:left w:val="none" w:sz="0" w:space="0" w:color="auto"/>
                        <w:bottom w:val="none" w:sz="0" w:space="0" w:color="auto"/>
                        <w:right w:val="none" w:sz="0" w:space="0" w:color="auto"/>
                      </w:divBdr>
                      <w:divsChild>
                        <w:div w:id="67267796">
                          <w:marLeft w:val="0"/>
                          <w:marRight w:val="0"/>
                          <w:marTop w:val="0"/>
                          <w:marBottom w:val="0"/>
                          <w:divBdr>
                            <w:top w:val="none" w:sz="0" w:space="0" w:color="auto"/>
                            <w:left w:val="none" w:sz="0" w:space="0" w:color="auto"/>
                            <w:bottom w:val="none" w:sz="0" w:space="0" w:color="auto"/>
                            <w:right w:val="none" w:sz="0" w:space="0" w:color="auto"/>
                          </w:divBdr>
                          <w:divsChild>
                            <w:div w:id="1371804193">
                              <w:marLeft w:val="0"/>
                              <w:marRight w:val="0"/>
                              <w:marTop w:val="0"/>
                              <w:marBottom w:val="0"/>
                              <w:divBdr>
                                <w:top w:val="none" w:sz="0" w:space="0" w:color="auto"/>
                                <w:left w:val="none" w:sz="0" w:space="0" w:color="auto"/>
                                <w:bottom w:val="none" w:sz="0" w:space="0" w:color="auto"/>
                                <w:right w:val="none" w:sz="0" w:space="0" w:color="auto"/>
                              </w:divBdr>
                              <w:divsChild>
                                <w:div w:id="1485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ering" TargetMode="External"/><Relationship Id="rId13" Type="http://schemas.openxmlformats.org/officeDocument/2006/relationships/hyperlink" Target="http://onlinelibrary.wiley.com/doi/10.1111/j.1949-8594.2012.00101.x/ful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Technology" TargetMode="External"/><Relationship Id="rId12" Type="http://schemas.openxmlformats.org/officeDocument/2006/relationships/hyperlink" Target="http://onlinelibrary.wiley.com/doi/10.1111/j.1949-8594.2012.00101.x/full" TargetMode="External"/><Relationship Id="rId17" Type="http://schemas.openxmlformats.org/officeDocument/2006/relationships/hyperlink" Target="http://onlinelibrary.wiley.com/doi/10.1111/j.1949-8594.2012.00101.x/full" TargetMode="External"/><Relationship Id="rId2" Type="http://schemas.openxmlformats.org/officeDocument/2006/relationships/settings" Target="settings.xml"/><Relationship Id="rId16" Type="http://schemas.openxmlformats.org/officeDocument/2006/relationships/hyperlink" Target="http://onlinelibrary.wiley.com/doi/10.1111/j.1949-8594.2012.00101.x/full" TargetMode="External"/><Relationship Id="rId1" Type="http://schemas.openxmlformats.org/officeDocument/2006/relationships/styles" Target="styles.xml"/><Relationship Id="rId6" Type="http://schemas.openxmlformats.org/officeDocument/2006/relationships/hyperlink" Target="http://en.wikipedia.org/wiki/Science" TargetMode="External"/><Relationship Id="rId11" Type="http://schemas.openxmlformats.org/officeDocument/2006/relationships/hyperlink" Target="http://onlinelibrary.wiley.com/doi/10.1111/j.1949-8594.2012.00101.x/full" TargetMode="External"/><Relationship Id="rId5" Type="http://schemas.openxmlformats.org/officeDocument/2006/relationships/hyperlink" Target="http://en.wikipedia.org/wiki/Academic_discipline" TargetMode="External"/><Relationship Id="rId15" Type="http://schemas.openxmlformats.org/officeDocument/2006/relationships/hyperlink" Target="http://onlinelibrary.wiley.com/doi/10.1111/j.1949-8594.2012.00101.x/full" TargetMode="External"/><Relationship Id="rId10" Type="http://schemas.openxmlformats.org/officeDocument/2006/relationships/hyperlink" Target="http://onlinelibrary.wiley.com/doi/10.1111/j.1949-8594.2012.00101.x/full" TargetMode="External"/><Relationship Id="rId19" Type="http://schemas.openxmlformats.org/officeDocument/2006/relationships/theme" Target="theme/theme1.xml"/><Relationship Id="rId4" Type="http://schemas.openxmlformats.org/officeDocument/2006/relationships/hyperlink" Target="http://en.wikipedia.org/wiki/Acronym" TargetMode="External"/><Relationship Id="rId9" Type="http://schemas.openxmlformats.org/officeDocument/2006/relationships/hyperlink" Target="http://en.wikipedia.org/wiki/Mathematics" TargetMode="External"/><Relationship Id="rId14" Type="http://schemas.openxmlformats.org/officeDocument/2006/relationships/hyperlink" Target="http://onlinelibrary.wiley.com/doi/10.1111/j.1949-8594.2012.00101.x/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Meyers</dc:creator>
  <cp:lastModifiedBy>Karen Meyers</cp:lastModifiedBy>
  <cp:revision>2</cp:revision>
  <cp:lastPrinted>2012-11-28T17:19:00Z</cp:lastPrinted>
  <dcterms:created xsi:type="dcterms:W3CDTF">2015-11-08T13:07:00Z</dcterms:created>
  <dcterms:modified xsi:type="dcterms:W3CDTF">2015-11-08T13:07:00Z</dcterms:modified>
</cp:coreProperties>
</file>