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92" w:type="dxa"/>
        <w:tblInd w:w="55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4464"/>
        <w:gridCol w:w="4464"/>
        <w:gridCol w:w="4464"/>
      </w:tblGrid>
      <w:tr w:rsidR="00CB6CFC" w:rsidRPr="00626B82" w:rsidTr="00626B82">
        <w:trPr>
          <w:trHeight w:val="4464"/>
        </w:trPr>
        <w:tc>
          <w:tcPr>
            <w:tcW w:w="4464" w:type="dxa"/>
          </w:tcPr>
          <w:p w:rsidR="00CB6CFC" w:rsidRPr="00626B82" w:rsidRDefault="00CB6CFC">
            <w:pPr>
              <w:rPr>
                <w:rFonts w:ascii="Calibri" w:hAnsi="Calibri"/>
                <w:color w:val="000000"/>
                <w:sz w:val="44"/>
                <w:szCs w:val="44"/>
              </w:rPr>
            </w:pPr>
            <w:r w:rsidRPr="00626B82">
              <w:rPr>
                <w:rFonts w:ascii="Calibri" w:hAnsi="Calibri"/>
                <w:color w:val="000000"/>
                <w:sz w:val="44"/>
                <w:szCs w:val="44"/>
              </w:rPr>
              <w:t>I feel that I am becoming more strategic in identifying which student samples of work to highlight.</w:t>
            </w:r>
          </w:p>
        </w:tc>
        <w:tc>
          <w:tcPr>
            <w:tcW w:w="4464" w:type="dxa"/>
          </w:tcPr>
          <w:p w:rsidR="00CB6CFC" w:rsidRPr="00626B82" w:rsidRDefault="00CB6CFC">
            <w:pPr>
              <w:rPr>
                <w:sz w:val="44"/>
                <w:szCs w:val="44"/>
              </w:rPr>
            </w:pPr>
            <w:r w:rsidRPr="00626B82">
              <w:rPr>
                <w:sz w:val="44"/>
                <w:szCs w:val="44"/>
              </w:rPr>
              <w:t>My students have figured out that the various methods we used in the lesson can be interchanged.</w:t>
            </w:r>
          </w:p>
        </w:tc>
        <w:tc>
          <w:tcPr>
            <w:tcW w:w="4464" w:type="dxa"/>
          </w:tcPr>
          <w:p w:rsidR="00CB6CFC" w:rsidRPr="00626B82" w:rsidRDefault="00CB6CFC">
            <w:pPr>
              <w:rPr>
                <w:sz w:val="44"/>
                <w:szCs w:val="44"/>
              </w:rPr>
            </w:pPr>
            <w:r w:rsidRPr="00626B82">
              <w:rPr>
                <w:sz w:val="44"/>
                <w:szCs w:val="44"/>
              </w:rPr>
              <w:t>While I'm planning my lesson, I'm thinking about how the lesson will go.</w:t>
            </w:r>
          </w:p>
        </w:tc>
      </w:tr>
      <w:tr w:rsidR="00CB6CFC" w:rsidRPr="00626B82" w:rsidTr="00626B82">
        <w:trPr>
          <w:trHeight w:val="4464"/>
        </w:trPr>
        <w:tc>
          <w:tcPr>
            <w:tcW w:w="4464" w:type="dxa"/>
          </w:tcPr>
          <w:p w:rsidR="00CB6CFC" w:rsidRPr="00626B82" w:rsidRDefault="00CB6CFC" w:rsidP="00015DE9">
            <w:pPr>
              <w:rPr>
                <w:sz w:val="44"/>
                <w:szCs w:val="44"/>
              </w:rPr>
            </w:pPr>
            <w:r w:rsidRPr="00626B82">
              <w:rPr>
                <w:sz w:val="44"/>
                <w:szCs w:val="44"/>
              </w:rPr>
              <w:t xml:space="preserve">I </w:t>
            </w:r>
            <w:r w:rsidR="00015DE9" w:rsidRPr="00626B82">
              <w:rPr>
                <w:sz w:val="44"/>
                <w:szCs w:val="44"/>
              </w:rPr>
              <w:t xml:space="preserve">am starting to think more about </w:t>
            </w:r>
            <w:r w:rsidRPr="00626B82">
              <w:rPr>
                <w:sz w:val="44"/>
                <w:szCs w:val="44"/>
              </w:rPr>
              <w:t xml:space="preserve">what part of </w:t>
            </w:r>
            <w:r w:rsidR="00015DE9" w:rsidRPr="00626B82">
              <w:rPr>
                <w:sz w:val="44"/>
                <w:szCs w:val="44"/>
              </w:rPr>
              <w:t xml:space="preserve">the </w:t>
            </w:r>
            <w:r w:rsidRPr="00626B82">
              <w:rPr>
                <w:sz w:val="44"/>
                <w:szCs w:val="44"/>
              </w:rPr>
              <w:t>lesson the students will struggle with</w:t>
            </w:r>
            <w:r w:rsidR="00015DE9" w:rsidRPr="00626B82">
              <w:rPr>
                <w:sz w:val="44"/>
                <w:szCs w:val="44"/>
              </w:rPr>
              <w:t xml:space="preserve"> the most</w:t>
            </w:r>
            <w:r w:rsidRPr="00626B82">
              <w:rPr>
                <w:sz w:val="44"/>
                <w:szCs w:val="44"/>
              </w:rPr>
              <w:t>.</w:t>
            </w:r>
          </w:p>
        </w:tc>
        <w:tc>
          <w:tcPr>
            <w:tcW w:w="4464" w:type="dxa"/>
          </w:tcPr>
          <w:p w:rsidR="00CB6CFC" w:rsidRPr="00626B82" w:rsidRDefault="00CB6CFC">
            <w:pPr>
              <w:rPr>
                <w:sz w:val="44"/>
                <w:szCs w:val="44"/>
              </w:rPr>
            </w:pPr>
            <w:r w:rsidRPr="00626B82">
              <w:rPr>
                <w:sz w:val="44"/>
                <w:szCs w:val="44"/>
              </w:rPr>
              <w:t>My kids will approach this problem different ways. I know at least 2 of them.</w:t>
            </w:r>
          </w:p>
        </w:tc>
        <w:tc>
          <w:tcPr>
            <w:tcW w:w="4464" w:type="dxa"/>
          </w:tcPr>
          <w:p w:rsidR="00CB6CFC" w:rsidRPr="00626B82" w:rsidRDefault="00CB6CFC" w:rsidP="00CB6CFC">
            <w:pPr>
              <w:rPr>
                <w:sz w:val="44"/>
                <w:szCs w:val="44"/>
              </w:rPr>
            </w:pPr>
            <w:r w:rsidRPr="00626B82">
              <w:rPr>
                <w:sz w:val="44"/>
                <w:szCs w:val="44"/>
              </w:rPr>
              <w:t>In each lesson I am constantly thinking about which strategies will be presented when.</w:t>
            </w:r>
          </w:p>
        </w:tc>
      </w:tr>
      <w:tr w:rsidR="00CB6CFC" w:rsidRPr="00626B82" w:rsidTr="00626B82">
        <w:trPr>
          <w:trHeight w:val="4464"/>
        </w:trPr>
        <w:tc>
          <w:tcPr>
            <w:tcW w:w="4464" w:type="dxa"/>
          </w:tcPr>
          <w:p w:rsidR="00015DE9" w:rsidRPr="00626B82" w:rsidRDefault="00015DE9">
            <w:pPr>
              <w:rPr>
                <w:sz w:val="44"/>
                <w:szCs w:val="44"/>
              </w:rPr>
            </w:pPr>
            <w:r w:rsidRPr="00626B82">
              <w:rPr>
                <w:sz w:val="44"/>
                <w:szCs w:val="44"/>
              </w:rPr>
              <w:lastRenderedPageBreak/>
              <w:t>I'm finding that 4 groups have used the same method to solve a problem, and another 4 groups have used a different method.  I'll choose one or two of each to discuss.</w:t>
            </w:r>
          </w:p>
        </w:tc>
        <w:tc>
          <w:tcPr>
            <w:tcW w:w="4464" w:type="dxa"/>
          </w:tcPr>
          <w:p w:rsidR="00CB6CFC" w:rsidRPr="00626B82" w:rsidRDefault="007625CE">
            <w:pPr>
              <w:rPr>
                <w:sz w:val="44"/>
                <w:szCs w:val="44"/>
              </w:rPr>
            </w:pPr>
            <w:r w:rsidRPr="00626B82">
              <w:rPr>
                <w:sz w:val="44"/>
                <w:szCs w:val="44"/>
              </w:rPr>
              <w:t>While I'm walking around, I'm realizing which students I can use to support the lesson.</w:t>
            </w:r>
          </w:p>
        </w:tc>
        <w:tc>
          <w:tcPr>
            <w:tcW w:w="4464" w:type="dxa"/>
          </w:tcPr>
          <w:p w:rsidR="00CB6CFC" w:rsidRPr="00626B82" w:rsidRDefault="00015DE9" w:rsidP="007625CE">
            <w:pPr>
              <w:rPr>
                <w:sz w:val="44"/>
                <w:szCs w:val="44"/>
              </w:rPr>
            </w:pPr>
            <w:r w:rsidRPr="00626B82">
              <w:rPr>
                <w:sz w:val="44"/>
                <w:szCs w:val="44"/>
              </w:rPr>
              <w:t>The order in which I show student work makes a difference in the final outcome.</w:t>
            </w:r>
          </w:p>
        </w:tc>
      </w:tr>
      <w:tr w:rsidR="00CB6CFC" w:rsidRPr="00626B82" w:rsidTr="00626B82">
        <w:trPr>
          <w:trHeight w:val="4464"/>
        </w:trPr>
        <w:tc>
          <w:tcPr>
            <w:tcW w:w="4464" w:type="dxa"/>
          </w:tcPr>
          <w:p w:rsidR="00CB6CFC" w:rsidRPr="00626B82" w:rsidRDefault="007625CE" w:rsidP="007625CE">
            <w:pPr>
              <w:rPr>
                <w:sz w:val="44"/>
                <w:szCs w:val="44"/>
              </w:rPr>
            </w:pPr>
            <w:r w:rsidRPr="00626B82">
              <w:rPr>
                <w:sz w:val="44"/>
                <w:szCs w:val="44"/>
              </w:rPr>
              <w:t>While the students are working I'm finding out what the common mistakes are.</w:t>
            </w:r>
          </w:p>
        </w:tc>
        <w:tc>
          <w:tcPr>
            <w:tcW w:w="4464" w:type="dxa"/>
          </w:tcPr>
          <w:p w:rsidR="00CB6CFC" w:rsidRPr="00626B82" w:rsidRDefault="007625CE" w:rsidP="007625CE">
            <w:pPr>
              <w:rPr>
                <w:sz w:val="44"/>
                <w:szCs w:val="44"/>
              </w:rPr>
            </w:pPr>
            <w:r w:rsidRPr="00626B82">
              <w:rPr>
                <w:sz w:val="44"/>
                <w:szCs w:val="44"/>
              </w:rPr>
              <w:t>I find it fun to be expecting certain responses and getting TOTALLY different responses!</w:t>
            </w:r>
          </w:p>
        </w:tc>
        <w:tc>
          <w:tcPr>
            <w:tcW w:w="4464" w:type="dxa"/>
          </w:tcPr>
          <w:p w:rsidR="00CB6CFC" w:rsidRPr="00626B82" w:rsidRDefault="007625CE" w:rsidP="00343490">
            <w:pPr>
              <w:rPr>
                <w:sz w:val="44"/>
                <w:szCs w:val="44"/>
              </w:rPr>
            </w:pPr>
            <w:r w:rsidRPr="00626B82">
              <w:rPr>
                <w:sz w:val="44"/>
                <w:szCs w:val="44"/>
              </w:rPr>
              <w:t xml:space="preserve">I have difficulty </w:t>
            </w:r>
            <w:r w:rsidR="00343490" w:rsidRPr="00626B82">
              <w:rPr>
                <w:sz w:val="44"/>
                <w:szCs w:val="44"/>
              </w:rPr>
              <w:t xml:space="preserve">thinking about </w:t>
            </w:r>
            <w:r w:rsidRPr="00626B82">
              <w:rPr>
                <w:sz w:val="44"/>
                <w:szCs w:val="44"/>
              </w:rPr>
              <w:t xml:space="preserve">some of the wrong paths </w:t>
            </w:r>
            <w:r w:rsidR="00343490" w:rsidRPr="00626B82">
              <w:rPr>
                <w:sz w:val="44"/>
                <w:szCs w:val="44"/>
              </w:rPr>
              <w:t xml:space="preserve">students </w:t>
            </w:r>
            <w:r w:rsidRPr="00626B82">
              <w:rPr>
                <w:sz w:val="44"/>
                <w:szCs w:val="44"/>
              </w:rPr>
              <w:t>may take.  I just don't always see the problem the way they see it.</w:t>
            </w:r>
          </w:p>
        </w:tc>
      </w:tr>
      <w:tr w:rsidR="00CB6CFC" w:rsidRPr="00626B82" w:rsidTr="00626B82">
        <w:trPr>
          <w:trHeight w:val="4464"/>
        </w:trPr>
        <w:tc>
          <w:tcPr>
            <w:tcW w:w="4464" w:type="dxa"/>
          </w:tcPr>
          <w:p w:rsidR="00CB6CFC" w:rsidRPr="00626B82" w:rsidRDefault="00015DE9" w:rsidP="00343490">
            <w:pPr>
              <w:rPr>
                <w:rFonts w:ascii="Calibri" w:hAnsi="Calibri"/>
                <w:color w:val="000000"/>
                <w:sz w:val="44"/>
                <w:szCs w:val="44"/>
              </w:rPr>
            </w:pPr>
            <w:r w:rsidRPr="00626B82">
              <w:rPr>
                <w:rFonts w:ascii="Calibri" w:hAnsi="Calibri"/>
                <w:color w:val="000000"/>
                <w:sz w:val="44"/>
                <w:szCs w:val="44"/>
              </w:rPr>
              <w:lastRenderedPageBreak/>
              <w:t>I am starting to become more careful about choosing sample work from a variety of different students (well thought out responses are often generated by the same students).</w:t>
            </w:r>
          </w:p>
        </w:tc>
        <w:tc>
          <w:tcPr>
            <w:tcW w:w="4464" w:type="dxa"/>
          </w:tcPr>
          <w:p w:rsidR="00CB6CFC" w:rsidRPr="00626B82" w:rsidRDefault="0001143C" w:rsidP="0001143C">
            <w:pPr>
              <w:rPr>
                <w:sz w:val="44"/>
                <w:szCs w:val="44"/>
              </w:rPr>
            </w:pPr>
            <w:r w:rsidRPr="00626B82">
              <w:rPr>
                <w:sz w:val="44"/>
                <w:szCs w:val="44"/>
              </w:rPr>
              <w:t>It’s hard to predict all of the possible student responses and strategies.</w:t>
            </w:r>
          </w:p>
        </w:tc>
        <w:tc>
          <w:tcPr>
            <w:tcW w:w="4464" w:type="dxa"/>
          </w:tcPr>
          <w:p w:rsidR="00CB6CFC" w:rsidRPr="00626B82" w:rsidRDefault="0001143C" w:rsidP="0001143C">
            <w:pPr>
              <w:rPr>
                <w:sz w:val="44"/>
                <w:szCs w:val="44"/>
              </w:rPr>
            </w:pPr>
            <w:r w:rsidRPr="00626B82">
              <w:rPr>
                <w:rFonts w:ascii="Calibri" w:hAnsi="Calibri"/>
                <w:color w:val="000000"/>
                <w:sz w:val="44"/>
                <w:szCs w:val="44"/>
              </w:rPr>
              <w:t>Physical room layout can be a challenge. The desks we have do not group easily, which creates a very cramped environment to try to move around as well as I would like.</w:t>
            </w:r>
          </w:p>
        </w:tc>
      </w:tr>
      <w:tr w:rsidR="0001143C" w:rsidRPr="00626B82" w:rsidTr="00626B82">
        <w:trPr>
          <w:trHeight w:val="4464"/>
        </w:trPr>
        <w:tc>
          <w:tcPr>
            <w:tcW w:w="4464" w:type="dxa"/>
          </w:tcPr>
          <w:p w:rsidR="0001143C" w:rsidRPr="00626B82" w:rsidRDefault="000818E1" w:rsidP="000818E1">
            <w:pPr>
              <w:rPr>
                <w:sz w:val="44"/>
                <w:szCs w:val="44"/>
              </w:rPr>
            </w:pPr>
            <w:r w:rsidRPr="00626B82">
              <w:rPr>
                <w:rFonts w:ascii="Calibri" w:hAnsi="Calibri"/>
                <w:color w:val="000000"/>
                <w:sz w:val="44"/>
                <w:szCs w:val="44"/>
              </w:rPr>
              <w:t>I need to be more careful not to overlook student sample work because of "tunnel vision."</w:t>
            </w:r>
          </w:p>
        </w:tc>
        <w:tc>
          <w:tcPr>
            <w:tcW w:w="4464" w:type="dxa"/>
          </w:tcPr>
          <w:p w:rsidR="0001143C" w:rsidRPr="00626B82" w:rsidRDefault="000818E1" w:rsidP="000818E1">
            <w:pPr>
              <w:rPr>
                <w:sz w:val="44"/>
                <w:szCs w:val="44"/>
              </w:rPr>
            </w:pPr>
            <w:r w:rsidRPr="00626B82">
              <w:rPr>
                <w:rFonts w:ascii="Calibri" w:hAnsi="Calibri"/>
                <w:color w:val="000000"/>
                <w:sz w:val="44"/>
                <w:szCs w:val="44"/>
              </w:rPr>
              <w:t>Sometimes it’s hard to choose the best order of student work that will provide the most benefit.</w:t>
            </w:r>
          </w:p>
        </w:tc>
        <w:tc>
          <w:tcPr>
            <w:tcW w:w="4464" w:type="dxa"/>
          </w:tcPr>
          <w:p w:rsidR="0001143C" w:rsidRPr="00626B82" w:rsidRDefault="0001143C" w:rsidP="0001143C">
            <w:pPr>
              <w:rPr>
                <w:sz w:val="44"/>
                <w:szCs w:val="44"/>
              </w:rPr>
            </w:pPr>
            <w:r w:rsidRPr="00626B82">
              <w:rPr>
                <w:rFonts w:ascii="Calibri" w:hAnsi="Calibri"/>
                <w:color w:val="000000"/>
                <w:sz w:val="44"/>
                <w:szCs w:val="44"/>
              </w:rPr>
              <w:t>Sometimes it hard to choose the best responses, especially when some students are at a different place in their understanding.</w:t>
            </w:r>
          </w:p>
        </w:tc>
      </w:tr>
      <w:tr w:rsidR="0001143C" w:rsidRPr="00626B82" w:rsidTr="00626B82">
        <w:trPr>
          <w:trHeight w:val="4464"/>
        </w:trPr>
        <w:tc>
          <w:tcPr>
            <w:tcW w:w="4464" w:type="dxa"/>
          </w:tcPr>
          <w:p w:rsidR="0001143C" w:rsidRPr="00626B82" w:rsidRDefault="00015DE9" w:rsidP="00343490">
            <w:pPr>
              <w:rPr>
                <w:sz w:val="44"/>
                <w:szCs w:val="44"/>
              </w:rPr>
            </w:pPr>
            <w:r w:rsidRPr="00626B82">
              <w:rPr>
                <w:rFonts w:ascii="Calibri" w:hAnsi="Calibri"/>
                <w:color w:val="000000"/>
                <w:sz w:val="44"/>
                <w:szCs w:val="44"/>
              </w:rPr>
              <w:lastRenderedPageBreak/>
              <w:t>Being able to connect student thinking with big ideas.</w:t>
            </w:r>
          </w:p>
        </w:tc>
        <w:tc>
          <w:tcPr>
            <w:tcW w:w="4464" w:type="dxa"/>
          </w:tcPr>
          <w:p w:rsidR="0001143C" w:rsidRPr="00626B82" w:rsidRDefault="00015DE9" w:rsidP="0001143C">
            <w:pPr>
              <w:rPr>
                <w:sz w:val="44"/>
                <w:szCs w:val="44"/>
              </w:rPr>
            </w:pPr>
            <w:r w:rsidRPr="00626B82">
              <w:rPr>
                <w:rFonts w:ascii="Calibri" w:hAnsi="Calibri"/>
                <w:color w:val="000000"/>
                <w:sz w:val="44"/>
                <w:szCs w:val="44"/>
              </w:rPr>
              <w:t>Sequencing almost needs to be decided during "anticipation" step.</w:t>
            </w:r>
          </w:p>
        </w:tc>
        <w:tc>
          <w:tcPr>
            <w:tcW w:w="4464" w:type="dxa"/>
          </w:tcPr>
          <w:p w:rsidR="0001143C" w:rsidRPr="00626B82" w:rsidRDefault="00015DE9" w:rsidP="000818E1">
            <w:pPr>
              <w:rPr>
                <w:sz w:val="44"/>
                <w:szCs w:val="44"/>
              </w:rPr>
            </w:pPr>
            <w:r w:rsidRPr="00626B82">
              <w:rPr>
                <w:sz w:val="44"/>
                <w:szCs w:val="44"/>
              </w:rPr>
              <w:t>I am often surprised at what I discover that kids don’t know.</w:t>
            </w:r>
          </w:p>
        </w:tc>
      </w:tr>
      <w:tr w:rsidR="0001143C" w:rsidRPr="00626B82" w:rsidTr="00626B82">
        <w:trPr>
          <w:trHeight w:val="4464"/>
        </w:trPr>
        <w:tc>
          <w:tcPr>
            <w:tcW w:w="4464" w:type="dxa"/>
          </w:tcPr>
          <w:p w:rsidR="00626B82" w:rsidRPr="00626B82" w:rsidRDefault="000818E1" w:rsidP="00626B82">
            <w:pPr>
              <w:rPr>
                <w:sz w:val="44"/>
                <w:szCs w:val="44"/>
              </w:rPr>
            </w:pPr>
            <w:r w:rsidRPr="00626B82">
              <w:rPr>
                <w:rFonts w:ascii="Calibri" w:hAnsi="Calibri"/>
                <w:color w:val="000000"/>
                <w:sz w:val="44"/>
                <w:szCs w:val="44"/>
              </w:rPr>
              <w:t>Sometimes it’s hard to find enough quality work for students to demonstrate.</w:t>
            </w:r>
          </w:p>
          <w:p w:rsidR="00626B82" w:rsidRPr="00626B82" w:rsidRDefault="00626B82" w:rsidP="00626B82">
            <w:pPr>
              <w:rPr>
                <w:sz w:val="44"/>
                <w:szCs w:val="44"/>
              </w:rPr>
            </w:pPr>
          </w:p>
          <w:p w:rsidR="0001143C" w:rsidRPr="00626B82" w:rsidRDefault="0001143C" w:rsidP="00626B82">
            <w:pPr>
              <w:rPr>
                <w:sz w:val="44"/>
                <w:szCs w:val="44"/>
              </w:rPr>
            </w:pPr>
          </w:p>
        </w:tc>
        <w:tc>
          <w:tcPr>
            <w:tcW w:w="4464" w:type="dxa"/>
          </w:tcPr>
          <w:p w:rsidR="0001143C" w:rsidRPr="00626B82" w:rsidRDefault="0001143C" w:rsidP="0001143C">
            <w:pPr>
              <w:rPr>
                <w:sz w:val="44"/>
                <w:szCs w:val="44"/>
              </w:rPr>
            </w:pPr>
            <w:r w:rsidRPr="00626B82">
              <w:rPr>
                <w:rFonts w:ascii="Calibri" w:hAnsi="Calibri"/>
                <w:color w:val="000000"/>
                <w:sz w:val="44"/>
                <w:szCs w:val="44"/>
              </w:rPr>
              <w:t>Large class size (35+) makes it difficult to keep up with everyone’s work.</w:t>
            </w:r>
          </w:p>
        </w:tc>
        <w:tc>
          <w:tcPr>
            <w:tcW w:w="4464" w:type="dxa"/>
          </w:tcPr>
          <w:p w:rsidR="0001143C" w:rsidRPr="00626B82" w:rsidRDefault="00015DE9">
            <w:pPr>
              <w:rPr>
                <w:sz w:val="44"/>
                <w:szCs w:val="44"/>
              </w:rPr>
            </w:pPr>
            <w:r w:rsidRPr="00626B82">
              <w:rPr>
                <w:rFonts w:ascii="Calibri" w:hAnsi="Calibri"/>
                <w:color w:val="000000"/>
                <w:sz w:val="44"/>
                <w:szCs w:val="44"/>
              </w:rPr>
              <w:t>Sometimes it’s hard to decide if you should start with the "best" answer first or save it for last if most students have it.</w:t>
            </w:r>
          </w:p>
        </w:tc>
      </w:tr>
    </w:tbl>
    <w:p w:rsidR="00EF773E" w:rsidRPr="00F52AB8" w:rsidRDefault="00EF773E">
      <w:pPr>
        <w:rPr>
          <w:sz w:val="30"/>
          <w:szCs w:val="30"/>
        </w:rPr>
      </w:pPr>
      <w:bookmarkStart w:id="0" w:name="_GoBack"/>
      <w:bookmarkEnd w:id="0"/>
    </w:p>
    <w:sectPr w:rsidR="00EF773E" w:rsidRPr="00F52AB8" w:rsidSect="00C6478E">
      <w:headerReference w:type="default" r:id="rId7"/>
      <w:footerReference w:type="default" r:id="rId8"/>
      <w:pgSz w:w="15840" w:h="12240" w:orient="landscape"/>
      <w:pgMar w:top="1440" w:right="1440" w:bottom="547" w:left="634" w:header="446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F2D" w:rsidRDefault="00C27F2D" w:rsidP="00C64F0D">
      <w:pPr>
        <w:spacing w:after="0" w:line="240" w:lineRule="auto"/>
      </w:pPr>
      <w:r>
        <w:separator/>
      </w:r>
    </w:p>
  </w:endnote>
  <w:endnote w:type="continuationSeparator" w:id="0">
    <w:p w:rsidR="00C27F2D" w:rsidRDefault="00C27F2D" w:rsidP="00C64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936752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C6478E" w:rsidRDefault="00C6478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578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578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6478E" w:rsidRDefault="00C647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F2D" w:rsidRDefault="00C27F2D" w:rsidP="00C64F0D">
      <w:pPr>
        <w:spacing w:after="0" w:line="240" w:lineRule="auto"/>
      </w:pPr>
      <w:r>
        <w:separator/>
      </w:r>
    </w:p>
  </w:footnote>
  <w:footnote w:type="continuationSeparator" w:id="0">
    <w:p w:rsidR="00C27F2D" w:rsidRDefault="00C27F2D" w:rsidP="00C64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F0D" w:rsidRPr="00C64F0D" w:rsidRDefault="006E0C82">
    <w:pPr>
      <w:pStyle w:val="Header"/>
      <w:rPr>
        <w:b/>
        <w:sz w:val="40"/>
        <w:szCs w:val="40"/>
      </w:rPr>
    </w:pPr>
    <w:r>
      <w:rPr>
        <w:b/>
        <w:sz w:val="40"/>
        <w:szCs w:val="40"/>
      </w:rPr>
      <w:t xml:space="preserve">    </w:t>
    </w:r>
    <w:r w:rsidR="002378C7">
      <w:rPr>
        <w:b/>
        <w:sz w:val="40"/>
        <w:szCs w:val="40"/>
      </w:rPr>
      <w:t xml:space="preserve"> </w:t>
    </w:r>
    <w:r w:rsidR="00C64F0D" w:rsidRPr="00C64F0D">
      <w:rPr>
        <w:b/>
        <w:sz w:val="40"/>
        <w:szCs w:val="40"/>
      </w:rPr>
      <w:t>The Five Practices Sorting Activity</w:t>
    </w:r>
  </w:p>
  <w:p w:rsidR="00C64F0D" w:rsidRDefault="006E0C82">
    <w:pPr>
      <w:pStyle w:val="Header"/>
      <w:rPr>
        <w:i/>
      </w:rPr>
    </w:pPr>
    <w:r>
      <w:rPr>
        <w:i/>
      </w:rPr>
      <w:tab/>
    </w:r>
    <w:r w:rsidR="002378C7">
      <w:rPr>
        <w:i/>
      </w:rPr>
      <w:t xml:space="preserve">  </w:t>
    </w:r>
    <w:r w:rsidR="00C64F0D" w:rsidRPr="00C64F0D">
      <w:rPr>
        <w:i/>
      </w:rPr>
      <w:t xml:space="preserve">Directions: cut out all the boxed statements and organize them into </w:t>
    </w:r>
    <w:r w:rsidR="003F5EEF">
      <w:rPr>
        <w:i/>
      </w:rPr>
      <w:t>their appropriate p</w:t>
    </w:r>
    <w:r w:rsidR="00C64F0D" w:rsidRPr="00C64F0D">
      <w:rPr>
        <w:i/>
      </w:rPr>
      <w:t>ractices</w:t>
    </w:r>
    <w:r w:rsidR="003F5EEF">
      <w:rPr>
        <w:i/>
      </w:rPr>
      <w:t>.</w:t>
    </w:r>
  </w:p>
  <w:p w:rsidR="00C64F0D" w:rsidRPr="00C64F0D" w:rsidRDefault="00C64F0D">
    <w:pPr>
      <w:pStyle w:val="Header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FC"/>
    <w:rsid w:val="0001143C"/>
    <w:rsid w:val="00015DE9"/>
    <w:rsid w:val="00040C55"/>
    <w:rsid w:val="00043DC6"/>
    <w:rsid w:val="00062402"/>
    <w:rsid w:val="000818E1"/>
    <w:rsid w:val="000A3A97"/>
    <w:rsid w:val="000A6DD4"/>
    <w:rsid w:val="000B061E"/>
    <w:rsid w:val="000B0A19"/>
    <w:rsid w:val="000B58DA"/>
    <w:rsid w:val="000C0023"/>
    <w:rsid w:val="000E6F3D"/>
    <w:rsid w:val="000F1D91"/>
    <w:rsid w:val="000F50A6"/>
    <w:rsid w:val="000F5262"/>
    <w:rsid w:val="00104401"/>
    <w:rsid w:val="001170CC"/>
    <w:rsid w:val="0012507F"/>
    <w:rsid w:val="00175961"/>
    <w:rsid w:val="00185DB0"/>
    <w:rsid w:val="00197C48"/>
    <w:rsid w:val="001B1FA4"/>
    <w:rsid w:val="001B5D3A"/>
    <w:rsid w:val="001E1924"/>
    <w:rsid w:val="0021485A"/>
    <w:rsid w:val="002378C7"/>
    <w:rsid w:val="002508FF"/>
    <w:rsid w:val="002665F5"/>
    <w:rsid w:val="00270088"/>
    <w:rsid w:val="00272459"/>
    <w:rsid w:val="002803D4"/>
    <w:rsid w:val="002A05A8"/>
    <w:rsid w:val="002B2854"/>
    <w:rsid w:val="002D1079"/>
    <w:rsid w:val="002E5133"/>
    <w:rsid w:val="002F6CAD"/>
    <w:rsid w:val="00327DB5"/>
    <w:rsid w:val="003353AF"/>
    <w:rsid w:val="003363BC"/>
    <w:rsid w:val="00337AC7"/>
    <w:rsid w:val="00343490"/>
    <w:rsid w:val="0036220D"/>
    <w:rsid w:val="003665C7"/>
    <w:rsid w:val="00395E44"/>
    <w:rsid w:val="003A3BFB"/>
    <w:rsid w:val="003A4E1B"/>
    <w:rsid w:val="003C7995"/>
    <w:rsid w:val="003E0F81"/>
    <w:rsid w:val="003E47D8"/>
    <w:rsid w:val="003F5EEF"/>
    <w:rsid w:val="00400A0B"/>
    <w:rsid w:val="00404F33"/>
    <w:rsid w:val="0041424A"/>
    <w:rsid w:val="004153DF"/>
    <w:rsid w:val="0043503E"/>
    <w:rsid w:val="00444D7B"/>
    <w:rsid w:val="00450D97"/>
    <w:rsid w:val="00455292"/>
    <w:rsid w:val="004622BC"/>
    <w:rsid w:val="004658A7"/>
    <w:rsid w:val="004756AF"/>
    <w:rsid w:val="00477D20"/>
    <w:rsid w:val="004D128F"/>
    <w:rsid w:val="004E3A29"/>
    <w:rsid w:val="004E417D"/>
    <w:rsid w:val="005518A4"/>
    <w:rsid w:val="00552A08"/>
    <w:rsid w:val="00573E8E"/>
    <w:rsid w:val="005B736C"/>
    <w:rsid w:val="005C0EFF"/>
    <w:rsid w:val="005F6309"/>
    <w:rsid w:val="00617747"/>
    <w:rsid w:val="00626B82"/>
    <w:rsid w:val="00652482"/>
    <w:rsid w:val="0066016C"/>
    <w:rsid w:val="006737AD"/>
    <w:rsid w:val="006A1AEA"/>
    <w:rsid w:val="006B654D"/>
    <w:rsid w:val="006C0DD3"/>
    <w:rsid w:val="006C49A0"/>
    <w:rsid w:val="006E0C82"/>
    <w:rsid w:val="00731F63"/>
    <w:rsid w:val="00734A9C"/>
    <w:rsid w:val="00761A42"/>
    <w:rsid w:val="007625CE"/>
    <w:rsid w:val="00765F37"/>
    <w:rsid w:val="00766D42"/>
    <w:rsid w:val="007A099D"/>
    <w:rsid w:val="007A49C5"/>
    <w:rsid w:val="007B3896"/>
    <w:rsid w:val="007B38F0"/>
    <w:rsid w:val="007C1654"/>
    <w:rsid w:val="00805F3B"/>
    <w:rsid w:val="00814A0E"/>
    <w:rsid w:val="00815973"/>
    <w:rsid w:val="00820B70"/>
    <w:rsid w:val="00843662"/>
    <w:rsid w:val="00846A54"/>
    <w:rsid w:val="00853054"/>
    <w:rsid w:val="008734F5"/>
    <w:rsid w:val="00890554"/>
    <w:rsid w:val="008A174F"/>
    <w:rsid w:val="008B2071"/>
    <w:rsid w:val="009A3629"/>
    <w:rsid w:val="009B3AE4"/>
    <w:rsid w:val="009E6A9E"/>
    <w:rsid w:val="00A07F90"/>
    <w:rsid w:val="00A30DA8"/>
    <w:rsid w:val="00A53E24"/>
    <w:rsid w:val="00A86A60"/>
    <w:rsid w:val="00AA4248"/>
    <w:rsid w:val="00AB0F2A"/>
    <w:rsid w:val="00AB4F11"/>
    <w:rsid w:val="00AB6185"/>
    <w:rsid w:val="00AC6134"/>
    <w:rsid w:val="00AD28AD"/>
    <w:rsid w:val="00AF740C"/>
    <w:rsid w:val="00B2422F"/>
    <w:rsid w:val="00B24533"/>
    <w:rsid w:val="00B420B4"/>
    <w:rsid w:val="00B602FA"/>
    <w:rsid w:val="00B811CE"/>
    <w:rsid w:val="00BA4055"/>
    <w:rsid w:val="00BD53ED"/>
    <w:rsid w:val="00BD7EDB"/>
    <w:rsid w:val="00BF53A7"/>
    <w:rsid w:val="00C05782"/>
    <w:rsid w:val="00C1792F"/>
    <w:rsid w:val="00C20873"/>
    <w:rsid w:val="00C26B37"/>
    <w:rsid w:val="00C27F2D"/>
    <w:rsid w:val="00C3236B"/>
    <w:rsid w:val="00C6478E"/>
    <w:rsid w:val="00C64F0D"/>
    <w:rsid w:val="00C80A40"/>
    <w:rsid w:val="00CB6CFC"/>
    <w:rsid w:val="00CC3DBA"/>
    <w:rsid w:val="00CC5460"/>
    <w:rsid w:val="00D03C1A"/>
    <w:rsid w:val="00D10DB3"/>
    <w:rsid w:val="00D509CB"/>
    <w:rsid w:val="00D65729"/>
    <w:rsid w:val="00D66AE8"/>
    <w:rsid w:val="00D82846"/>
    <w:rsid w:val="00D877B3"/>
    <w:rsid w:val="00D92B8C"/>
    <w:rsid w:val="00D979C0"/>
    <w:rsid w:val="00DA1EB2"/>
    <w:rsid w:val="00DD0E09"/>
    <w:rsid w:val="00E004D2"/>
    <w:rsid w:val="00E11B4A"/>
    <w:rsid w:val="00E146EC"/>
    <w:rsid w:val="00E30018"/>
    <w:rsid w:val="00E32F95"/>
    <w:rsid w:val="00E41423"/>
    <w:rsid w:val="00E96E37"/>
    <w:rsid w:val="00ED488B"/>
    <w:rsid w:val="00EE2727"/>
    <w:rsid w:val="00EE6F13"/>
    <w:rsid w:val="00EF773E"/>
    <w:rsid w:val="00F031B9"/>
    <w:rsid w:val="00F1731B"/>
    <w:rsid w:val="00F52AB8"/>
    <w:rsid w:val="00F56BCB"/>
    <w:rsid w:val="00F64724"/>
    <w:rsid w:val="00F75A4F"/>
    <w:rsid w:val="00F845BC"/>
    <w:rsid w:val="00F84F72"/>
    <w:rsid w:val="00F861C8"/>
    <w:rsid w:val="00FC646F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4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F0D"/>
  </w:style>
  <w:style w:type="paragraph" w:styleId="Footer">
    <w:name w:val="footer"/>
    <w:basedOn w:val="Normal"/>
    <w:link w:val="FooterChar"/>
    <w:uiPriority w:val="99"/>
    <w:unhideWhenUsed/>
    <w:rsid w:val="00C64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F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4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F0D"/>
  </w:style>
  <w:style w:type="paragraph" w:styleId="Footer">
    <w:name w:val="footer"/>
    <w:basedOn w:val="Normal"/>
    <w:link w:val="FooterChar"/>
    <w:uiPriority w:val="99"/>
    <w:unhideWhenUsed/>
    <w:rsid w:val="00C64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cp:lastPrinted>2014-10-15T20:13:00Z</cp:lastPrinted>
  <dcterms:created xsi:type="dcterms:W3CDTF">2014-10-15T17:16:00Z</dcterms:created>
  <dcterms:modified xsi:type="dcterms:W3CDTF">2014-10-15T20:13:00Z</dcterms:modified>
</cp:coreProperties>
</file>