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31" w:rsidRPr="00B74045" w:rsidRDefault="00DD1B31"/>
    <w:p w:rsidR="002D0C59" w:rsidRPr="00B74045" w:rsidRDefault="002D0C59" w:rsidP="002D0C59">
      <w:pPr>
        <w:jc w:val="center"/>
        <w:rPr>
          <w:b/>
          <w:sz w:val="40"/>
          <w:szCs w:val="40"/>
        </w:rPr>
      </w:pPr>
      <w:proofErr w:type="gramStart"/>
      <w:r w:rsidRPr="00B74045">
        <w:rPr>
          <w:b/>
          <w:sz w:val="40"/>
          <w:szCs w:val="40"/>
        </w:rPr>
        <w:t>Padnos International Center.</w:t>
      </w:r>
      <w:proofErr w:type="gramEnd"/>
      <w:r w:rsidRPr="00B74045">
        <w:rPr>
          <w:b/>
          <w:sz w:val="40"/>
          <w:szCs w:val="40"/>
        </w:rPr>
        <w:t xml:space="preserve"> Strategic Plan 2010-2015</w:t>
      </w:r>
    </w:p>
    <w:p w:rsidR="002D0C59" w:rsidRPr="00B74045" w:rsidRDefault="002D0C59"/>
    <w:p w:rsidR="002D0C59" w:rsidRPr="00B74045" w:rsidRDefault="002D0C59" w:rsidP="002D0C59">
      <w:pPr>
        <w:autoSpaceDE w:val="0"/>
        <w:autoSpaceDN w:val="0"/>
        <w:adjustRightInd w:val="0"/>
        <w:rPr>
          <w:rFonts w:eastAsiaTheme="minorHAnsi"/>
          <w:b/>
          <w:bCs/>
          <w:sz w:val="28"/>
          <w:szCs w:val="28"/>
        </w:rPr>
      </w:pPr>
      <w:r w:rsidRPr="00B74045">
        <w:rPr>
          <w:rFonts w:eastAsiaTheme="minorHAnsi"/>
          <w:b/>
          <w:bCs/>
          <w:sz w:val="28"/>
          <w:szCs w:val="28"/>
        </w:rPr>
        <w:t>PIC Mission</w:t>
      </w:r>
    </w:p>
    <w:p w:rsidR="002D0C59" w:rsidRPr="00B74045" w:rsidRDefault="002D0C59" w:rsidP="002D0C59">
      <w:pPr>
        <w:autoSpaceDE w:val="0"/>
        <w:autoSpaceDN w:val="0"/>
        <w:adjustRightInd w:val="0"/>
        <w:rPr>
          <w:rFonts w:eastAsiaTheme="minorHAnsi"/>
          <w:sz w:val="28"/>
          <w:szCs w:val="28"/>
        </w:rPr>
      </w:pPr>
      <w:r w:rsidRPr="00B74045">
        <w:rPr>
          <w:rFonts w:eastAsiaTheme="minorHAnsi"/>
          <w:sz w:val="28"/>
          <w:szCs w:val="28"/>
        </w:rPr>
        <w:t>To engage the University community in meaningful international experiences which</w:t>
      </w:r>
    </w:p>
    <w:p w:rsidR="002D0C59" w:rsidRPr="00B74045" w:rsidRDefault="002D0C59" w:rsidP="002D0C59">
      <w:pPr>
        <w:autoSpaceDE w:val="0"/>
        <w:autoSpaceDN w:val="0"/>
        <w:adjustRightInd w:val="0"/>
        <w:rPr>
          <w:rFonts w:eastAsiaTheme="minorHAnsi"/>
          <w:sz w:val="28"/>
          <w:szCs w:val="28"/>
        </w:rPr>
      </w:pPr>
      <w:proofErr w:type="gramStart"/>
      <w:r w:rsidRPr="00B74045">
        <w:rPr>
          <w:rFonts w:eastAsiaTheme="minorHAnsi"/>
          <w:sz w:val="28"/>
          <w:szCs w:val="28"/>
        </w:rPr>
        <w:t>foster</w:t>
      </w:r>
      <w:proofErr w:type="gramEnd"/>
      <w:r w:rsidRPr="00B74045">
        <w:rPr>
          <w:rFonts w:eastAsiaTheme="minorHAnsi"/>
          <w:sz w:val="28"/>
          <w:szCs w:val="28"/>
        </w:rPr>
        <w:t xml:space="preserve"> an appreciation and awareness of diverse cultures, people, and ideas.</w:t>
      </w:r>
    </w:p>
    <w:p w:rsidR="002D0C59" w:rsidRPr="00B74045" w:rsidRDefault="002D0C59" w:rsidP="002D0C59">
      <w:pPr>
        <w:autoSpaceDE w:val="0"/>
        <w:autoSpaceDN w:val="0"/>
        <w:adjustRightInd w:val="0"/>
        <w:rPr>
          <w:rFonts w:eastAsiaTheme="minorHAnsi"/>
          <w:sz w:val="28"/>
          <w:szCs w:val="28"/>
        </w:rPr>
      </w:pPr>
    </w:p>
    <w:p w:rsidR="002D0C59" w:rsidRPr="00B74045" w:rsidRDefault="002D0C59" w:rsidP="002D0C59">
      <w:pPr>
        <w:autoSpaceDE w:val="0"/>
        <w:autoSpaceDN w:val="0"/>
        <w:adjustRightInd w:val="0"/>
        <w:rPr>
          <w:rFonts w:eastAsiaTheme="minorHAnsi"/>
          <w:b/>
          <w:bCs/>
          <w:sz w:val="28"/>
          <w:szCs w:val="28"/>
        </w:rPr>
      </w:pPr>
      <w:r w:rsidRPr="00B74045">
        <w:rPr>
          <w:rFonts w:eastAsiaTheme="minorHAnsi"/>
          <w:b/>
          <w:bCs/>
          <w:sz w:val="28"/>
          <w:szCs w:val="28"/>
        </w:rPr>
        <w:t>PIC Vision</w:t>
      </w:r>
    </w:p>
    <w:p w:rsidR="002D0C59" w:rsidRPr="00B74045" w:rsidRDefault="002D0C59" w:rsidP="002D0C59">
      <w:pPr>
        <w:autoSpaceDE w:val="0"/>
        <w:autoSpaceDN w:val="0"/>
        <w:adjustRightInd w:val="0"/>
        <w:rPr>
          <w:rFonts w:eastAsiaTheme="minorHAnsi"/>
          <w:sz w:val="28"/>
          <w:szCs w:val="28"/>
        </w:rPr>
      </w:pPr>
      <w:r w:rsidRPr="00B74045">
        <w:rPr>
          <w:rFonts w:eastAsiaTheme="minorHAnsi"/>
          <w:sz w:val="28"/>
          <w:szCs w:val="28"/>
        </w:rPr>
        <w:t>The Padnos International Center is committed to providing students, faculty and staff</w:t>
      </w:r>
    </w:p>
    <w:p w:rsidR="002D0C59" w:rsidRPr="00B74045" w:rsidRDefault="002D0C59" w:rsidP="002D0C59">
      <w:pPr>
        <w:autoSpaceDE w:val="0"/>
        <w:autoSpaceDN w:val="0"/>
        <w:adjustRightInd w:val="0"/>
        <w:rPr>
          <w:rFonts w:eastAsiaTheme="minorHAnsi"/>
          <w:sz w:val="28"/>
          <w:szCs w:val="28"/>
        </w:rPr>
      </w:pPr>
      <w:proofErr w:type="gramStart"/>
      <w:r w:rsidRPr="00B74045">
        <w:rPr>
          <w:rFonts w:eastAsiaTheme="minorHAnsi"/>
          <w:sz w:val="28"/>
          <w:szCs w:val="28"/>
        </w:rPr>
        <w:t>with</w:t>
      </w:r>
      <w:proofErr w:type="gramEnd"/>
      <w:r w:rsidRPr="00B74045">
        <w:rPr>
          <w:rFonts w:eastAsiaTheme="minorHAnsi"/>
          <w:sz w:val="28"/>
          <w:szCs w:val="28"/>
        </w:rPr>
        <w:t xml:space="preserve"> opportunities that deepen and broaden their global awareness and understanding.</w:t>
      </w:r>
    </w:p>
    <w:p w:rsidR="002D0C59" w:rsidRPr="00B74045" w:rsidRDefault="002D0C59" w:rsidP="002D0C59">
      <w:pPr>
        <w:autoSpaceDE w:val="0"/>
        <w:autoSpaceDN w:val="0"/>
        <w:adjustRightInd w:val="0"/>
        <w:rPr>
          <w:rFonts w:eastAsiaTheme="minorHAnsi"/>
          <w:sz w:val="28"/>
          <w:szCs w:val="28"/>
        </w:rPr>
      </w:pPr>
      <w:r w:rsidRPr="00B74045">
        <w:rPr>
          <w:rFonts w:eastAsiaTheme="minorHAnsi"/>
          <w:sz w:val="28"/>
          <w:szCs w:val="28"/>
        </w:rPr>
        <w:t>By offering a welcoming environment and developing diverse and substantive</w:t>
      </w:r>
    </w:p>
    <w:p w:rsidR="002D0C59" w:rsidRPr="00B74045" w:rsidRDefault="002D0C59" w:rsidP="002D0C59">
      <w:pPr>
        <w:autoSpaceDE w:val="0"/>
        <w:autoSpaceDN w:val="0"/>
        <w:adjustRightInd w:val="0"/>
        <w:rPr>
          <w:rFonts w:eastAsiaTheme="minorHAnsi"/>
          <w:sz w:val="28"/>
          <w:szCs w:val="28"/>
        </w:rPr>
      </w:pPr>
      <w:proofErr w:type="gramStart"/>
      <w:r w:rsidRPr="00B74045">
        <w:rPr>
          <w:rFonts w:eastAsiaTheme="minorHAnsi"/>
          <w:sz w:val="28"/>
          <w:szCs w:val="28"/>
        </w:rPr>
        <w:t>programs</w:t>
      </w:r>
      <w:proofErr w:type="gramEnd"/>
      <w:r w:rsidRPr="00B74045">
        <w:rPr>
          <w:rFonts w:eastAsiaTheme="minorHAnsi"/>
          <w:sz w:val="28"/>
          <w:szCs w:val="28"/>
        </w:rPr>
        <w:t>, we seek to build collaborative relationships that embrace liberal learning and</w:t>
      </w:r>
    </w:p>
    <w:p w:rsidR="002D0C59" w:rsidRPr="00B74045" w:rsidRDefault="002D0C59" w:rsidP="002D0C59">
      <w:pPr>
        <w:autoSpaceDE w:val="0"/>
        <w:autoSpaceDN w:val="0"/>
        <w:adjustRightInd w:val="0"/>
        <w:rPr>
          <w:rFonts w:eastAsiaTheme="minorHAnsi"/>
          <w:sz w:val="28"/>
          <w:szCs w:val="28"/>
        </w:rPr>
      </w:pPr>
      <w:proofErr w:type="gramStart"/>
      <w:r w:rsidRPr="00B74045">
        <w:rPr>
          <w:rFonts w:eastAsiaTheme="minorHAnsi"/>
          <w:sz w:val="28"/>
          <w:szCs w:val="28"/>
        </w:rPr>
        <w:t>cross-cultural</w:t>
      </w:r>
      <w:proofErr w:type="gramEnd"/>
      <w:r w:rsidRPr="00B74045">
        <w:rPr>
          <w:rFonts w:eastAsiaTheme="minorHAnsi"/>
          <w:sz w:val="28"/>
          <w:szCs w:val="28"/>
        </w:rPr>
        <w:t xml:space="preserve"> understanding.</w:t>
      </w:r>
    </w:p>
    <w:p w:rsidR="002D0C59" w:rsidRPr="00B74045" w:rsidRDefault="002D0C59" w:rsidP="002D0C59">
      <w:pPr>
        <w:autoSpaceDE w:val="0"/>
        <w:autoSpaceDN w:val="0"/>
        <w:adjustRightInd w:val="0"/>
        <w:rPr>
          <w:rFonts w:eastAsiaTheme="minorHAnsi"/>
          <w:sz w:val="28"/>
          <w:szCs w:val="28"/>
        </w:rPr>
      </w:pPr>
    </w:p>
    <w:p w:rsidR="002D0C59" w:rsidRPr="00B74045" w:rsidRDefault="002D0C59" w:rsidP="002D0C59">
      <w:pPr>
        <w:autoSpaceDE w:val="0"/>
        <w:autoSpaceDN w:val="0"/>
        <w:adjustRightInd w:val="0"/>
        <w:rPr>
          <w:rFonts w:eastAsiaTheme="minorHAnsi"/>
          <w:b/>
          <w:bCs/>
          <w:sz w:val="28"/>
          <w:szCs w:val="28"/>
        </w:rPr>
      </w:pPr>
      <w:r w:rsidRPr="00B74045">
        <w:rPr>
          <w:rFonts w:eastAsiaTheme="minorHAnsi"/>
          <w:b/>
          <w:bCs/>
          <w:sz w:val="28"/>
          <w:szCs w:val="28"/>
        </w:rPr>
        <w:t>PIC Values</w:t>
      </w:r>
    </w:p>
    <w:p w:rsidR="002D0C59" w:rsidRPr="00B74045" w:rsidRDefault="002D0C59" w:rsidP="002D0C59">
      <w:pPr>
        <w:autoSpaceDE w:val="0"/>
        <w:autoSpaceDN w:val="0"/>
        <w:adjustRightInd w:val="0"/>
        <w:rPr>
          <w:rFonts w:eastAsiaTheme="minorHAnsi"/>
          <w:i/>
          <w:iCs/>
          <w:sz w:val="28"/>
          <w:szCs w:val="28"/>
        </w:rPr>
      </w:pPr>
      <w:r w:rsidRPr="00B74045">
        <w:rPr>
          <w:rFonts w:eastAsiaTheme="minorHAnsi"/>
          <w:i/>
          <w:iCs/>
          <w:sz w:val="28"/>
          <w:szCs w:val="28"/>
        </w:rPr>
        <w:t>The PIC Values…</w:t>
      </w:r>
    </w:p>
    <w:p w:rsidR="002D0C59" w:rsidRPr="00B74045" w:rsidRDefault="002D0C59" w:rsidP="002D0C59">
      <w:pPr>
        <w:autoSpaceDE w:val="0"/>
        <w:autoSpaceDN w:val="0"/>
        <w:adjustRightInd w:val="0"/>
        <w:rPr>
          <w:rFonts w:eastAsiaTheme="minorHAnsi"/>
          <w:b/>
        </w:rPr>
      </w:pPr>
      <w:r w:rsidRPr="00B74045">
        <w:rPr>
          <w:rFonts w:eastAsiaTheme="minorHAnsi"/>
          <w:b/>
        </w:rPr>
        <w:t>1. International Students, International Faculty, and visiting Scholars in the GVSU</w:t>
      </w:r>
      <w:r w:rsidR="00B74045" w:rsidRPr="00B74045">
        <w:rPr>
          <w:rFonts w:eastAsiaTheme="minorHAnsi"/>
          <w:b/>
        </w:rPr>
        <w:t xml:space="preserve"> </w:t>
      </w:r>
      <w:r w:rsidRPr="00B74045">
        <w:rPr>
          <w:rFonts w:eastAsiaTheme="minorHAnsi"/>
          <w:b/>
        </w:rPr>
        <w:t>community, and their</w:t>
      </w:r>
    </w:p>
    <w:p w:rsidR="002D0C59" w:rsidRPr="00B74045" w:rsidRDefault="00B74045" w:rsidP="002D0C59">
      <w:pPr>
        <w:autoSpaceDE w:val="0"/>
        <w:autoSpaceDN w:val="0"/>
        <w:adjustRightInd w:val="0"/>
        <w:rPr>
          <w:rFonts w:eastAsiaTheme="minorHAnsi"/>
          <w:b/>
        </w:rPr>
      </w:pPr>
      <w:proofErr w:type="gramStart"/>
      <w:r w:rsidRPr="00B74045">
        <w:rPr>
          <w:rFonts w:eastAsiaTheme="minorHAnsi"/>
          <w:b/>
        </w:rPr>
        <w:t>d</w:t>
      </w:r>
      <w:r w:rsidR="002D0C59" w:rsidRPr="00B74045">
        <w:rPr>
          <w:rFonts w:eastAsiaTheme="minorHAnsi"/>
          <w:b/>
        </w:rPr>
        <w:t>iversity</w:t>
      </w:r>
      <w:proofErr w:type="gramEnd"/>
      <w:r w:rsidR="002D0C59" w:rsidRPr="00B74045">
        <w:rPr>
          <w:rFonts w:eastAsiaTheme="minorHAnsi"/>
          <w:b/>
        </w:rPr>
        <w:t xml:space="preserve"> of perspectives they bring, in and out of class</w:t>
      </w:r>
      <w:r w:rsidRPr="00B74045">
        <w:rPr>
          <w:rFonts w:eastAsiaTheme="minorHAnsi"/>
          <w:b/>
        </w:rPr>
        <w:t>.</w:t>
      </w:r>
    </w:p>
    <w:p w:rsidR="002D0C59" w:rsidRPr="002D0C59" w:rsidRDefault="002D0C59" w:rsidP="002D0C59">
      <w:pPr>
        <w:rPr>
          <w:rFonts w:eastAsiaTheme="minorHAnsi"/>
        </w:rPr>
      </w:pPr>
      <w:proofErr w:type="gramStart"/>
      <w:r w:rsidRPr="002D0C59">
        <w:rPr>
          <w:rFonts w:eastAsiaTheme="minorHAnsi"/>
        </w:rPr>
        <w:t>Expertise in academic and non-academic areas of</w:t>
      </w:r>
      <w:r w:rsidR="00B74045">
        <w:rPr>
          <w:rFonts w:eastAsiaTheme="minorHAnsi"/>
        </w:rPr>
        <w:t xml:space="preserve"> study.</w:t>
      </w:r>
      <w:proofErr w:type="gramEnd"/>
    </w:p>
    <w:p w:rsidR="002D0C59" w:rsidRPr="002D0C59" w:rsidRDefault="002D0C59" w:rsidP="002D0C59"/>
    <w:p w:rsidR="002D0C59" w:rsidRPr="00B74045" w:rsidRDefault="002D0C59" w:rsidP="002D0C59">
      <w:pPr>
        <w:autoSpaceDE w:val="0"/>
        <w:autoSpaceDN w:val="0"/>
        <w:adjustRightInd w:val="0"/>
        <w:rPr>
          <w:rFonts w:eastAsiaTheme="minorHAnsi"/>
          <w:b/>
        </w:rPr>
      </w:pPr>
      <w:r w:rsidRPr="00B74045">
        <w:rPr>
          <w:rFonts w:eastAsiaTheme="minorHAnsi"/>
          <w:b/>
        </w:rPr>
        <w:t>2. Study Abroad experiences that strive to include</w:t>
      </w:r>
      <w:r w:rsidR="00B74045" w:rsidRPr="00B74045">
        <w:rPr>
          <w:rFonts w:eastAsiaTheme="minorHAnsi"/>
          <w:b/>
        </w:rPr>
        <w:t>:</w:t>
      </w:r>
    </w:p>
    <w:p w:rsidR="002D0C59" w:rsidRPr="002D0C59" w:rsidRDefault="002D0C59" w:rsidP="002D0C59">
      <w:pPr>
        <w:autoSpaceDE w:val="0"/>
        <w:autoSpaceDN w:val="0"/>
        <w:adjustRightInd w:val="0"/>
        <w:rPr>
          <w:rFonts w:eastAsiaTheme="minorHAnsi"/>
        </w:rPr>
      </w:pPr>
      <w:r w:rsidRPr="002D0C59">
        <w:rPr>
          <w:rFonts w:eastAsiaTheme="minorHAnsi"/>
        </w:rPr>
        <w:t>A sense of global citizenship</w:t>
      </w:r>
    </w:p>
    <w:p w:rsidR="002D0C59" w:rsidRPr="002D0C59" w:rsidRDefault="002D0C59" w:rsidP="002D0C59">
      <w:pPr>
        <w:autoSpaceDE w:val="0"/>
        <w:autoSpaceDN w:val="0"/>
        <w:adjustRightInd w:val="0"/>
        <w:rPr>
          <w:rFonts w:eastAsiaTheme="minorHAnsi"/>
        </w:rPr>
      </w:pPr>
      <w:r w:rsidRPr="002D0C59">
        <w:rPr>
          <w:rFonts w:eastAsiaTheme="minorHAnsi"/>
        </w:rPr>
        <w:t>Integration of participants into the culture of the host country or</w:t>
      </w:r>
      <w:r>
        <w:rPr>
          <w:rFonts w:eastAsiaTheme="minorHAnsi"/>
        </w:rPr>
        <w:t xml:space="preserve"> </w:t>
      </w:r>
      <w:r w:rsidRPr="002D0C59">
        <w:rPr>
          <w:rFonts w:eastAsiaTheme="minorHAnsi"/>
        </w:rPr>
        <w:t>region</w:t>
      </w:r>
    </w:p>
    <w:p w:rsidR="002D0C59" w:rsidRPr="002D0C59" w:rsidRDefault="002D0C59" w:rsidP="002D0C59">
      <w:pPr>
        <w:autoSpaceDE w:val="0"/>
        <w:autoSpaceDN w:val="0"/>
        <w:adjustRightInd w:val="0"/>
        <w:rPr>
          <w:rFonts w:eastAsiaTheme="minorHAnsi"/>
        </w:rPr>
      </w:pPr>
      <w:r w:rsidRPr="002D0C59">
        <w:rPr>
          <w:rFonts w:eastAsiaTheme="minorHAnsi"/>
        </w:rPr>
        <w:t>Encouragement of participants to learn the language of the country or</w:t>
      </w:r>
      <w:r>
        <w:rPr>
          <w:rFonts w:eastAsiaTheme="minorHAnsi"/>
        </w:rPr>
        <w:t xml:space="preserve"> </w:t>
      </w:r>
      <w:r w:rsidRPr="002D0C59">
        <w:rPr>
          <w:rFonts w:eastAsiaTheme="minorHAnsi"/>
        </w:rPr>
        <w:t>region</w:t>
      </w:r>
    </w:p>
    <w:p w:rsidR="002D0C59" w:rsidRPr="002D0C59" w:rsidRDefault="002D0C59" w:rsidP="002D0C59">
      <w:pPr>
        <w:autoSpaceDE w:val="0"/>
        <w:autoSpaceDN w:val="0"/>
        <w:adjustRightInd w:val="0"/>
        <w:rPr>
          <w:rFonts w:eastAsiaTheme="minorHAnsi"/>
        </w:rPr>
      </w:pPr>
      <w:r w:rsidRPr="002D0C59">
        <w:rPr>
          <w:rFonts w:eastAsiaTheme="minorHAnsi"/>
        </w:rPr>
        <w:t>Encouragement of participants to learn the history of the host country or</w:t>
      </w:r>
      <w:r>
        <w:rPr>
          <w:rFonts w:eastAsiaTheme="minorHAnsi"/>
        </w:rPr>
        <w:t xml:space="preserve"> </w:t>
      </w:r>
      <w:r w:rsidRPr="002D0C59">
        <w:rPr>
          <w:rFonts w:eastAsiaTheme="minorHAnsi"/>
        </w:rPr>
        <w:t>region</w:t>
      </w:r>
    </w:p>
    <w:p w:rsidR="002D0C59" w:rsidRPr="002D0C59" w:rsidRDefault="002D0C59" w:rsidP="002D0C59">
      <w:pPr>
        <w:autoSpaceDE w:val="0"/>
        <w:autoSpaceDN w:val="0"/>
        <w:adjustRightInd w:val="0"/>
        <w:rPr>
          <w:rFonts w:eastAsiaTheme="minorHAnsi"/>
        </w:rPr>
      </w:pPr>
      <w:r w:rsidRPr="002D0C59">
        <w:rPr>
          <w:rFonts w:eastAsiaTheme="minorHAnsi"/>
        </w:rPr>
        <w:t>Quality curriculum connected to the study abroad experience and host</w:t>
      </w:r>
      <w:r>
        <w:rPr>
          <w:rFonts w:eastAsiaTheme="minorHAnsi"/>
        </w:rPr>
        <w:t xml:space="preserve"> </w:t>
      </w:r>
      <w:r w:rsidRPr="002D0C59">
        <w:rPr>
          <w:rFonts w:eastAsiaTheme="minorHAnsi"/>
        </w:rPr>
        <w:t>country</w:t>
      </w:r>
    </w:p>
    <w:p w:rsidR="002D0C59" w:rsidRPr="002D0C59" w:rsidRDefault="002D0C59" w:rsidP="002D0C59">
      <w:pPr>
        <w:autoSpaceDE w:val="0"/>
        <w:autoSpaceDN w:val="0"/>
        <w:adjustRightInd w:val="0"/>
        <w:rPr>
          <w:rFonts w:eastAsiaTheme="minorHAnsi"/>
        </w:rPr>
      </w:pPr>
      <w:proofErr w:type="gramStart"/>
      <w:r w:rsidRPr="002D0C59">
        <w:rPr>
          <w:rFonts w:eastAsiaTheme="minorHAnsi"/>
        </w:rPr>
        <w:t>Opportunities for a diverse range of students and their circumstances or</w:t>
      </w:r>
      <w:r>
        <w:rPr>
          <w:rFonts w:eastAsiaTheme="minorHAnsi"/>
        </w:rPr>
        <w:t xml:space="preserve"> </w:t>
      </w:r>
      <w:r w:rsidRPr="002D0C59">
        <w:rPr>
          <w:rFonts w:eastAsiaTheme="minorHAnsi"/>
        </w:rPr>
        <w:t>needs (including physical disab</w:t>
      </w:r>
      <w:r>
        <w:rPr>
          <w:rFonts w:eastAsiaTheme="minorHAnsi"/>
        </w:rPr>
        <w:t xml:space="preserve">ility, family situation, gender </w:t>
      </w:r>
      <w:r w:rsidRPr="002D0C59">
        <w:rPr>
          <w:rFonts w:eastAsiaTheme="minorHAnsi"/>
        </w:rPr>
        <w:t>orientation,</w:t>
      </w:r>
      <w:r>
        <w:rPr>
          <w:rFonts w:eastAsiaTheme="minorHAnsi"/>
        </w:rPr>
        <w:t xml:space="preserve"> </w:t>
      </w:r>
      <w:r w:rsidRPr="002D0C59">
        <w:rPr>
          <w:rFonts w:eastAsiaTheme="minorHAnsi"/>
        </w:rPr>
        <w:t>etc.)</w:t>
      </w:r>
      <w:proofErr w:type="gramEnd"/>
    </w:p>
    <w:p w:rsidR="002D0C59" w:rsidRPr="002D0C59" w:rsidRDefault="002D0C59" w:rsidP="002D0C59">
      <w:pPr>
        <w:autoSpaceDE w:val="0"/>
        <w:autoSpaceDN w:val="0"/>
        <w:adjustRightInd w:val="0"/>
        <w:rPr>
          <w:rFonts w:eastAsiaTheme="minorHAnsi"/>
        </w:rPr>
      </w:pPr>
      <w:r w:rsidRPr="002D0C59">
        <w:rPr>
          <w:rFonts w:eastAsiaTheme="minorHAnsi"/>
        </w:rPr>
        <w:t>Concern for participants’ health and safety</w:t>
      </w:r>
    </w:p>
    <w:p w:rsidR="002D0C59" w:rsidRDefault="002D0C59" w:rsidP="002D0C59">
      <w:pPr>
        <w:autoSpaceDE w:val="0"/>
        <w:autoSpaceDN w:val="0"/>
        <w:adjustRightInd w:val="0"/>
        <w:rPr>
          <w:rFonts w:eastAsiaTheme="minorHAnsi"/>
        </w:rPr>
      </w:pPr>
    </w:p>
    <w:p w:rsidR="00B74045" w:rsidRPr="002D0C59" w:rsidRDefault="00B74045" w:rsidP="002D0C59">
      <w:pPr>
        <w:autoSpaceDE w:val="0"/>
        <w:autoSpaceDN w:val="0"/>
        <w:adjustRightInd w:val="0"/>
        <w:rPr>
          <w:rFonts w:eastAsiaTheme="minorHAnsi"/>
        </w:rPr>
      </w:pPr>
    </w:p>
    <w:p w:rsidR="002D0C59" w:rsidRPr="00B74045" w:rsidRDefault="002D0C59" w:rsidP="002D0C59">
      <w:pPr>
        <w:autoSpaceDE w:val="0"/>
        <w:autoSpaceDN w:val="0"/>
        <w:adjustRightInd w:val="0"/>
        <w:rPr>
          <w:rFonts w:eastAsiaTheme="minorHAnsi"/>
          <w:b/>
        </w:rPr>
      </w:pPr>
      <w:r w:rsidRPr="00B74045">
        <w:rPr>
          <w:rFonts w:eastAsiaTheme="minorHAnsi"/>
          <w:b/>
        </w:rPr>
        <w:lastRenderedPageBreak/>
        <w:t>3. Faculty/staff awareness of and support for international educations, through</w:t>
      </w:r>
      <w:r w:rsidR="00B74045" w:rsidRPr="00B74045">
        <w:rPr>
          <w:rFonts w:eastAsiaTheme="minorHAnsi"/>
          <w:b/>
        </w:rPr>
        <w:t>:</w:t>
      </w:r>
    </w:p>
    <w:p w:rsidR="002D0C59" w:rsidRPr="002D0C59" w:rsidRDefault="002D0C59" w:rsidP="002D0C59">
      <w:pPr>
        <w:autoSpaceDE w:val="0"/>
        <w:autoSpaceDN w:val="0"/>
        <w:adjustRightInd w:val="0"/>
        <w:rPr>
          <w:rFonts w:eastAsiaTheme="minorHAnsi"/>
        </w:rPr>
      </w:pPr>
      <w:r w:rsidRPr="002D0C59">
        <w:rPr>
          <w:rFonts w:eastAsia="Wingdings-Regular"/>
        </w:rPr>
        <w:t xml:space="preserve"> </w:t>
      </w:r>
      <w:r w:rsidRPr="002D0C59">
        <w:rPr>
          <w:rFonts w:eastAsiaTheme="minorHAnsi"/>
        </w:rPr>
        <w:t>Incorporation of international elements to courses and curricula</w:t>
      </w:r>
    </w:p>
    <w:p w:rsidR="002D0C59" w:rsidRPr="002D0C59" w:rsidRDefault="002D0C59" w:rsidP="002D0C59">
      <w:pPr>
        <w:autoSpaceDE w:val="0"/>
        <w:autoSpaceDN w:val="0"/>
        <w:adjustRightInd w:val="0"/>
        <w:rPr>
          <w:rFonts w:eastAsiaTheme="minorHAnsi"/>
        </w:rPr>
      </w:pPr>
      <w:r w:rsidRPr="002D0C59">
        <w:rPr>
          <w:rFonts w:eastAsia="Wingdings-Regular"/>
        </w:rPr>
        <w:t xml:space="preserve"> </w:t>
      </w:r>
      <w:r w:rsidRPr="002D0C59">
        <w:rPr>
          <w:rFonts w:eastAsiaTheme="minorHAnsi"/>
        </w:rPr>
        <w:t>Increased intercultural competence</w:t>
      </w:r>
    </w:p>
    <w:p w:rsidR="002D0C59" w:rsidRPr="002D0C59" w:rsidRDefault="002D0C59" w:rsidP="002D0C59">
      <w:pPr>
        <w:autoSpaceDE w:val="0"/>
        <w:autoSpaceDN w:val="0"/>
        <w:adjustRightInd w:val="0"/>
        <w:rPr>
          <w:rFonts w:eastAsiaTheme="minorHAnsi"/>
        </w:rPr>
      </w:pPr>
      <w:r w:rsidRPr="002D0C59">
        <w:rPr>
          <w:rFonts w:eastAsia="Wingdings-Regular"/>
        </w:rPr>
        <w:t xml:space="preserve"> </w:t>
      </w:r>
      <w:r w:rsidRPr="002D0C59">
        <w:rPr>
          <w:rFonts w:eastAsiaTheme="minorHAnsi"/>
        </w:rPr>
        <w:t>International Education Committee</w:t>
      </w:r>
    </w:p>
    <w:p w:rsidR="002D0C59" w:rsidRPr="002D0C59" w:rsidRDefault="002D0C59" w:rsidP="002D0C59">
      <w:pPr>
        <w:rPr>
          <w:rFonts w:eastAsiaTheme="minorHAnsi"/>
        </w:rPr>
      </w:pPr>
      <w:r w:rsidRPr="002D0C59">
        <w:rPr>
          <w:rFonts w:eastAsia="Wingdings-Regular"/>
        </w:rPr>
        <w:t xml:space="preserve"> </w:t>
      </w:r>
      <w:r w:rsidRPr="002D0C59">
        <w:rPr>
          <w:rFonts w:eastAsiaTheme="minorHAnsi"/>
        </w:rPr>
        <w:t>Faculty awareness of and support for study abroad programs</w:t>
      </w:r>
    </w:p>
    <w:p w:rsidR="002D0C59" w:rsidRPr="002D0C59" w:rsidRDefault="002D0C59" w:rsidP="002D0C59">
      <w:pPr>
        <w:autoSpaceDE w:val="0"/>
        <w:autoSpaceDN w:val="0"/>
        <w:adjustRightInd w:val="0"/>
        <w:rPr>
          <w:rFonts w:eastAsia="Wingdings-Regular"/>
        </w:rPr>
      </w:pPr>
      <w:r w:rsidRPr="002D0C59">
        <w:rPr>
          <w:rFonts w:eastAsia="Wingdings-Regular"/>
        </w:rPr>
        <w:t xml:space="preserve"> Cooperation with PIC on international-related programming on campus</w:t>
      </w:r>
    </w:p>
    <w:p w:rsidR="002D0C59" w:rsidRPr="002D0C59" w:rsidRDefault="002D0C59" w:rsidP="002D0C59">
      <w:pPr>
        <w:autoSpaceDE w:val="0"/>
        <w:autoSpaceDN w:val="0"/>
        <w:adjustRightInd w:val="0"/>
        <w:rPr>
          <w:rFonts w:eastAsia="Wingdings-Regular"/>
        </w:rPr>
      </w:pPr>
      <w:r w:rsidRPr="002D0C59">
        <w:rPr>
          <w:rFonts w:eastAsia="Wingdings-Regular"/>
        </w:rPr>
        <w:t>Participation in partner-related opportunities</w:t>
      </w:r>
    </w:p>
    <w:p w:rsidR="002D0C59" w:rsidRPr="002D0C59" w:rsidRDefault="002D0C59" w:rsidP="002D0C59">
      <w:pPr>
        <w:autoSpaceDE w:val="0"/>
        <w:autoSpaceDN w:val="0"/>
        <w:adjustRightInd w:val="0"/>
        <w:rPr>
          <w:rFonts w:eastAsia="Wingdings-Regular"/>
        </w:rPr>
      </w:pPr>
      <w:r w:rsidRPr="002D0C59">
        <w:rPr>
          <w:rFonts w:eastAsia="Wingdings-Regular"/>
        </w:rPr>
        <w:t xml:space="preserve"> International research, teaching, and professional development</w:t>
      </w:r>
    </w:p>
    <w:p w:rsidR="002D0C59" w:rsidRPr="002D0C59" w:rsidRDefault="002D0C59" w:rsidP="002D0C59">
      <w:pPr>
        <w:autoSpaceDE w:val="0"/>
        <w:autoSpaceDN w:val="0"/>
        <w:adjustRightInd w:val="0"/>
        <w:rPr>
          <w:rFonts w:eastAsia="Wingdings-Regular"/>
        </w:rPr>
      </w:pPr>
    </w:p>
    <w:p w:rsidR="002D0C59" w:rsidRPr="00B74045" w:rsidRDefault="002D0C59" w:rsidP="002D0C59">
      <w:pPr>
        <w:autoSpaceDE w:val="0"/>
        <w:autoSpaceDN w:val="0"/>
        <w:adjustRightInd w:val="0"/>
        <w:rPr>
          <w:rFonts w:eastAsia="Wingdings-Regular"/>
          <w:b/>
        </w:rPr>
      </w:pPr>
      <w:r w:rsidRPr="00B74045">
        <w:rPr>
          <w:rFonts w:eastAsia="Wingdings-Regular"/>
          <w:b/>
        </w:rPr>
        <w:t>4. A warm, welcoming working environment, with people who are respectful and</w:t>
      </w:r>
    </w:p>
    <w:p w:rsidR="002D0C59" w:rsidRPr="00B74045" w:rsidRDefault="002D0C59" w:rsidP="002D0C59">
      <w:pPr>
        <w:rPr>
          <w:rFonts w:eastAsia="Wingdings-Regular"/>
          <w:b/>
        </w:rPr>
      </w:pPr>
      <w:proofErr w:type="gramStart"/>
      <w:r w:rsidRPr="00B74045">
        <w:rPr>
          <w:rFonts w:eastAsia="Wingdings-Regular"/>
          <w:b/>
        </w:rPr>
        <w:t>encouraging</w:t>
      </w:r>
      <w:proofErr w:type="gramEnd"/>
      <w:r w:rsidRPr="00B74045">
        <w:rPr>
          <w:rFonts w:eastAsia="Wingdings-Regular"/>
          <w:b/>
        </w:rPr>
        <w:t xml:space="preserve"> towards diverse cultures and perspectives.</w:t>
      </w:r>
    </w:p>
    <w:p w:rsidR="002D0C59" w:rsidRPr="002D0C59" w:rsidRDefault="002D0C59" w:rsidP="002D0C59"/>
    <w:p w:rsidR="002D0C59" w:rsidRDefault="002D0C59" w:rsidP="002D0C59">
      <w:pPr>
        <w:autoSpaceDE w:val="0"/>
        <w:autoSpaceDN w:val="0"/>
        <w:adjustRightInd w:val="0"/>
        <w:rPr>
          <w:rFonts w:eastAsiaTheme="minorHAnsi"/>
          <w:b/>
          <w:bCs/>
        </w:rPr>
      </w:pPr>
      <w:r w:rsidRPr="002D0C59">
        <w:rPr>
          <w:rFonts w:eastAsiaTheme="minorHAnsi"/>
          <w:b/>
          <w:bCs/>
        </w:rPr>
        <w:t xml:space="preserve">PIC </w:t>
      </w:r>
      <w:r w:rsidR="00DA6BAB">
        <w:rPr>
          <w:rFonts w:eastAsiaTheme="minorHAnsi"/>
          <w:b/>
          <w:bCs/>
        </w:rPr>
        <w:t>Strategies</w:t>
      </w:r>
      <w:r w:rsidRPr="002D0C59">
        <w:rPr>
          <w:rFonts w:eastAsiaTheme="minorHAnsi"/>
          <w:b/>
          <w:bCs/>
        </w:rPr>
        <w:t>: 2010-2015</w:t>
      </w:r>
      <w:r w:rsidR="00DA6BAB">
        <w:rPr>
          <w:rFonts w:eastAsiaTheme="minorHAnsi"/>
          <w:b/>
          <w:bCs/>
        </w:rPr>
        <w:t xml:space="preserve"> (not assessed)</w:t>
      </w:r>
    </w:p>
    <w:p w:rsidR="00DA6BAB" w:rsidRPr="002D0C59" w:rsidRDefault="00DA6BAB" w:rsidP="002D0C59">
      <w:pPr>
        <w:autoSpaceDE w:val="0"/>
        <w:autoSpaceDN w:val="0"/>
        <w:adjustRightInd w:val="0"/>
        <w:rPr>
          <w:rFonts w:eastAsiaTheme="minorHAnsi"/>
          <w:b/>
          <w:bCs/>
        </w:rPr>
      </w:pPr>
    </w:p>
    <w:p w:rsidR="002D0C59" w:rsidRPr="00DA6BAB" w:rsidRDefault="002D0C59" w:rsidP="00DA6BAB">
      <w:pPr>
        <w:pStyle w:val="ListParagraph"/>
        <w:numPr>
          <w:ilvl w:val="0"/>
          <w:numId w:val="2"/>
        </w:numPr>
        <w:autoSpaceDE w:val="0"/>
        <w:autoSpaceDN w:val="0"/>
        <w:adjustRightInd w:val="0"/>
        <w:rPr>
          <w:rFonts w:ascii="Times New Roman" w:eastAsiaTheme="minorHAnsi" w:hAnsi="Times New Roman" w:cs="Times New Roman"/>
          <w:i/>
          <w:iCs/>
        </w:rPr>
      </w:pPr>
      <w:r w:rsidRPr="00DA6BAB">
        <w:rPr>
          <w:rFonts w:ascii="Times New Roman" w:eastAsiaTheme="minorHAnsi" w:hAnsi="Times New Roman" w:cs="Times New Roman"/>
        </w:rPr>
        <w:t xml:space="preserve">Build and maintain programs that integrate and support international students and scholars across campus. </w:t>
      </w:r>
    </w:p>
    <w:p w:rsidR="00DA6BAB" w:rsidRPr="00DA6BAB" w:rsidRDefault="00DA6BAB" w:rsidP="00DA6BAB">
      <w:pPr>
        <w:autoSpaceDE w:val="0"/>
        <w:autoSpaceDN w:val="0"/>
        <w:adjustRightInd w:val="0"/>
        <w:ind w:left="360"/>
        <w:rPr>
          <w:rFonts w:eastAsiaTheme="minorHAnsi"/>
          <w:i/>
          <w:iCs/>
        </w:rPr>
      </w:pPr>
    </w:p>
    <w:p w:rsidR="002D0C59" w:rsidRPr="00DA6BAB" w:rsidRDefault="002D0C59" w:rsidP="00DA6BAB">
      <w:pPr>
        <w:pStyle w:val="ListParagraph"/>
        <w:numPr>
          <w:ilvl w:val="0"/>
          <w:numId w:val="2"/>
        </w:numPr>
        <w:autoSpaceDE w:val="0"/>
        <w:autoSpaceDN w:val="0"/>
        <w:adjustRightInd w:val="0"/>
        <w:rPr>
          <w:rFonts w:ascii="Times New Roman" w:eastAsiaTheme="minorHAnsi" w:hAnsi="Times New Roman" w:cs="Times New Roman"/>
          <w:i/>
          <w:iCs/>
        </w:rPr>
      </w:pPr>
      <w:r w:rsidRPr="00DA6BAB">
        <w:rPr>
          <w:rFonts w:ascii="Times New Roman" w:eastAsiaTheme="minorHAnsi" w:hAnsi="Times New Roman" w:cs="Times New Roman"/>
        </w:rPr>
        <w:t xml:space="preserve">Build and maintain relationships with academic and service departments for planning, implementing, and integrating PIC’s efforts and student initiatives. </w:t>
      </w:r>
    </w:p>
    <w:p w:rsidR="00DA6BAB" w:rsidRPr="00DA6BAB" w:rsidRDefault="00DA6BAB" w:rsidP="00DA6BAB">
      <w:pPr>
        <w:pStyle w:val="ListParagraph"/>
        <w:rPr>
          <w:rFonts w:ascii="Times New Roman" w:eastAsiaTheme="minorHAnsi" w:hAnsi="Times New Roman" w:cs="Times New Roman"/>
          <w:i/>
          <w:iCs/>
        </w:rPr>
      </w:pPr>
    </w:p>
    <w:p w:rsidR="00DA6BAB" w:rsidRPr="00DA6BAB" w:rsidRDefault="00DA6BAB" w:rsidP="00DA6BAB">
      <w:pPr>
        <w:autoSpaceDE w:val="0"/>
        <w:autoSpaceDN w:val="0"/>
        <w:adjustRightInd w:val="0"/>
        <w:ind w:left="360"/>
        <w:rPr>
          <w:rFonts w:eastAsiaTheme="minorHAnsi"/>
          <w:i/>
          <w:iCs/>
        </w:rPr>
      </w:pPr>
    </w:p>
    <w:p w:rsidR="002D0C59" w:rsidRPr="00DA6BAB" w:rsidRDefault="002D0C59" w:rsidP="002D0C59">
      <w:pPr>
        <w:pStyle w:val="ListParagraph"/>
        <w:numPr>
          <w:ilvl w:val="0"/>
          <w:numId w:val="2"/>
        </w:numPr>
        <w:autoSpaceDE w:val="0"/>
        <w:autoSpaceDN w:val="0"/>
        <w:adjustRightInd w:val="0"/>
        <w:rPr>
          <w:rFonts w:ascii="Times New Roman" w:eastAsiaTheme="minorHAnsi" w:hAnsi="Times New Roman" w:cs="Times New Roman"/>
          <w:i/>
          <w:iCs/>
        </w:rPr>
      </w:pPr>
      <w:r w:rsidRPr="00DA6BAB">
        <w:rPr>
          <w:rFonts w:ascii="Times New Roman" w:eastAsiaTheme="minorHAnsi" w:hAnsi="Times New Roman" w:cs="Times New Roman"/>
        </w:rPr>
        <w:t xml:space="preserve"> Build and maintain sustainable, relevant, and meaningful partnerships. </w:t>
      </w:r>
    </w:p>
    <w:p w:rsidR="00DA6BAB" w:rsidRPr="00DA6BAB" w:rsidRDefault="00DA6BAB" w:rsidP="00DA6BAB">
      <w:pPr>
        <w:autoSpaceDE w:val="0"/>
        <w:autoSpaceDN w:val="0"/>
        <w:adjustRightInd w:val="0"/>
        <w:ind w:left="360"/>
        <w:rPr>
          <w:rFonts w:eastAsiaTheme="minorHAnsi"/>
          <w:i/>
          <w:iCs/>
        </w:rPr>
      </w:pPr>
    </w:p>
    <w:p w:rsidR="002D0C59" w:rsidRPr="00DA6BAB" w:rsidRDefault="002D0C59" w:rsidP="00DA6BAB">
      <w:pPr>
        <w:pStyle w:val="ListParagraph"/>
        <w:numPr>
          <w:ilvl w:val="0"/>
          <w:numId w:val="2"/>
        </w:numPr>
        <w:autoSpaceDE w:val="0"/>
        <w:autoSpaceDN w:val="0"/>
        <w:adjustRightInd w:val="0"/>
        <w:rPr>
          <w:rFonts w:ascii="Times New Roman" w:eastAsiaTheme="minorHAnsi" w:hAnsi="Times New Roman" w:cs="Times New Roman"/>
          <w:i/>
          <w:iCs/>
        </w:rPr>
      </w:pPr>
      <w:r w:rsidRPr="00DA6BAB">
        <w:rPr>
          <w:rFonts w:ascii="Times New Roman" w:eastAsiaTheme="minorHAnsi" w:hAnsi="Times New Roman" w:cs="Times New Roman"/>
        </w:rPr>
        <w:t xml:space="preserve">Build and maintain a diverse set of study abroad programs to match the needs and goals of students, faculty, and staff. </w:t>
      </w:r>
    </w:p>
    <w:p w:rsidR="00DA6BAB" w:rsidRPr="00DA6BAB" w:rsidRDefault="00DA6BAB" w:rsidP="00DA6BAB">
      <w:pPr>
        <w:autoSpaceDE w:val="0"/>
        <w:autoSpaceDN w:val="0"/>
        <w:adjustRightInd w:val="0"/>
        <w:ind w:left="360"/>
        <w:rPr>
          <w:rFonts w:eastAsiaTheme="minorHAnsi"/>
          <w:i/>
          <w:iCs/>
        </w:rPr>
      </w:pPr>
    </w:p>
    <w:p w:rsidR="00DA6BAB" w:rsidRDefault="002D0C59" w:rsidP="00DA6BAB">
      <w:pPr>
        <w:pStyle w:val="ListParagraph"/>
        <w:numPr>
          <w:ilvl w:val="0"/>
          <w:numId w:val="2"/>
        </w:numPr>
        <w:autoSpaceDE w:val="0"/>
        <w:autoSpaceDN w:val="0"/>
        <w:adjustRightInd w:val="0"/>
        <w:rPr>
          <w:rFonts w:ascii="Times New Roman" w:eastAsiaTheme="minorHAnsi" w:hAnsi="Times New Roman" w:cs="Times New Roman"/>
        </w:rPr>
      </w:pPr>
      <w:r w:rsidRPr="00DA6BAB">
        <w:rPr>
          <w:rFonts w:ascii="Times New Roman" w:eastAsiaTheme="minorHAnsi" w:hAnsi="Times New Roman" w:cs="Times New Roman"/>
        </w:rPr>
        <w:t xml:space="preserve">Build and maintain programs that focus on learning goals for students, faculty, and staff (shifting emphasis from service to facilitating their intercultural competence). </w:t>
      </w:r>
    </w:p>
    <w:p w:rsidR="00DA6BAB" w:rsidRPr="00DA6BAB" w:rsidRDefault="00DA6BAB" w:rsidP="00DA6BAB">
      <w:pPr>
        <w:pStyle w:val="ListParagraph"/>
        <w:rPr>
          <w:rFonts w:ascii="Times New Roman" w:eastAsiaTheme="minorHAnsi" w:hAnsi="Times New Roman" w:cs="Times New Roman"/>
        </w:rPr>
      </w:pPr>
    </w:p>
    <w:p w:rsidR="00DA6BAB" w:rsidRPr="00DA6BAB" w:rsidRDefault="00DA6BAB" w:rsidP="00DA6BAB">
      <w:pPr>
        <w:autoSpaceDE w:val="0"/>
        <w:autoSpaceDN w:val="0"/>
        <w:adjustRightInd w:val="0"/>
        <w:ind w:left="360"/>
        <w:rPr>
          <w:rFonts w:eastAsiaTheme="minorHAnsi"/>
        </w:rPr>
      </w:pPr>
    </w:p>
    <w:p w:rsidR="00DA6BAB" w:rsidRPr="00DA6BAB" w:rsidRDefault="00DA6BAB" w:rsidP="00DA6BAB">
      <w:pPr>
        <w:pStyle w:val="ListParagraph"/>
        <w:numPr>
          <w:ilvl w:val="0"/>
          <w:numId w:val="2"/>
        </w:numPr>
        <w:autoSpaceDE w:val="0"/>
        <w:autoSpaceDN w:val="0"/>
        <w:adjustRightInd w:val="0"/>
        <w:rPr>
          <w:rFonts w:ascii="Times New Roman" w:eastAsiaTheme="minorHAnsi" w:hAnsi="Times New Roman" w:cs="Times New Roman"/>
        </w:rPr>
      </w:pPr>
      <w:r w:rsidRPr="00DA6BAB">
        <w:rPr>
          <w:rFonts w:ascii="Times New Roman" w:eastAsiaTheme="minorHAnsi" w:hAnsi="Times New Roman" w:cs="Times New Roman"/>
        </w:rPr>
        <w:t>Devise and implement an improved process for helping returning Study Abroad participants to integrate into the campus community and productively apply their experiences to their academic and professional careers as well as personal growth.</w:t>
      </w:r>
    </w:p>
    <w:p w:rsidR="00DA6BAB" w:rsidRDefault="00DA6BAB" w:rsidP="002D0C59">
      <w:pPr>
        <w:autoSpaceDE w:val="0"/>
        <w:autoSpaceDN w:val="0"/>
        <w:adjustRightInd w:val="0"/>
        <w:rPr>
          <w:rFonts w:eastAsiaTheme="minorHAnsi"/>
          <w:i/>
          <w:iCs/>
        </w:rPr>
      </w:pPr>
    </w:p>
    <w:p w:rsidR="00DA6BAB" w:rsidRPr="002D0C59" w:rsidRDefault="00DA6BAB" w:rsidP="002D0C59">
      <w:pPr>
        <w:autoSpaceDE w:val="0"/>
        <w:autoSpaceDN w:val="0"/>
        <w:adjustRightInd w:val="0"/>
        <w:rPr>
          <w:rFonts w:eastAsiaTheme="minorHAnsi"/>
          <w:i/>
          <w:iCs/>
        </w:rPr>
      </w:pPr>
    </w:p>
    <w:p w:rsidR="002D0C59" w:rsidRPr="002D0C59" w:rsidRDefault="002D0C59" w:rsidP="002D0C59">
      <w:pPr>
        <w:autoSpaceDE w:val="0"/>
        <w:autoSpaceDN w:val="0"/>
        <w:adjustRightInd w:val="0"/>
        <w:rPr>
          <w:rFonts w:eastAsiaTheme="minorHAnsi"/>
          <w:i/>
          <w:iCs/>
        </w:rPr>
      </w:pPr>
    </w:p>
    <w:p w:rsidR="002D0C59" w:rsidRPr="002D0C59" w:rsidRDefault="002D0C59" w:rsidP="002D0C59">
      <w:pPr>
        <w:autoSpaceDE w:val="0"/>
        <w:autoSpaceDN w:val="0"/>
        <w:adjustRightInd w:val="0"/>
        <w:rPr>
          <w:rFonts w:eastAsiaTheme="minorHAnsi"/>
          <w:b/>
          <w:bCs/>
        </w:rPr>
      </w:pPr>
      <w:r w:rsidRPr="002D0C59">
        <w:rPr>
          <w:rFonts w:eastAsiaTheme="minorHAnsi"/>
          <w:b/>
          <w:bCs/>
        </w:rPr>
        <w:lastRenderedPageBreak/>
        <w:t>PIC Objectives</w:t>
      </w:r>
      <w:r w:rsidR="00DA6BAB">
        <w:rPr>
          <w:rFonts w:eastAsiaTheme="minorHAnsi"/>
          <w:b/>
          <w:bCs/>
        </w:rPr>
        <w:t xml:space="preserve"> to be measured</w:t>
      </w:r>
      <w:r w:rsidRPr="002D0C59">
        <w:rPr>
          <w:rFonts w:eastAsiaTheme="minorHAnsi"/>
          <w:b/>
          <w:bCs/>
        </w:rPr>
        <w:t>: 2010-2015</w:t>
      </w:r>
    </w:p>
    <w:p w:rsidR="002D0C59" w:rsidRPr="002D0C59" w:rsidRDefault="002D0C59" w:rsidP="002D0C59">
      <w:pPr>
        <w:autoSpaceDE w:val="0"/>
        <w:autoSpaceDN w:val="0"/>
        <w:adjustRightInd w:val="0"/>
        <w:rPr>
          <w:rFonts w:eastAsiaTheme="minorHAnsi"/>
        </w:rPr>
      </w:pPr>
      <w:r w:rsidRPr="002D0C59">
        <w:rPr>
          <w:rFonts w:eastAsiaTheme="minorHAnsi"/>
        </w:rPr>
        <w:t>1. Increase the numbers of GVSU students studying abroad or interning abroad. Goal is</w:t>
      </w:r>
      <w:r>
        <w:rPr>
          <w:rFonts w:eastAsiaTheme="minorHAnsi"/>
        </w:rPr>
        <w:t xml:space="preserve"> </w:t>
      </w:r>
      <w:r w:rsidRPr="002D0C59">
        <w:rPr>
          <w:rFonts w:eastAsiaTheme="minorHAnsi"/>
        </w:rPr>
        <w:t xml:space="preserve">the GVSU strategic sub-goal (2.5.2) of 800 students per year. </w:t>
      </w:r>
      <w:r w:rsidRPr="002D0C59">
        <w:rPr>
          <w:rFonts w:eastAsiaTheme="minorHAnsi"/>
          <w:i/>
          <w:iCs/>
        </w:rPr>
        <w:t>Measurement: # of Study</w:t>
      </w:r>
      <w:r>
        <w:rPr>
          <w:rFonts w:eastAsiaTheme="minorHAnsi"/>
        </w:rPr>
        <w:t xml:space="preserve"> </w:t>
      </w:r>
      <w:r w:rsidRPr="002D0C59">
        <w:rPr>
          <w:rFonts w:eastAsiaTheme="minorHAnsi"/>
          <w:i/>
          <w:iCs/>
        </w:rPr>
        <w:t>Abroad participants.</w:t>
      </w:r>
    </w:p>
    <w:p w:rsidR="002D0C59" w:rsidRPr="002D0C59" w:rsidRDefault="002D0C59" w:rsidP="002D0C59">
      <w:pPr>
        <w:autoSpaceDE w:val="0"/>
        <w:autoSpaceDN w:val="0"/>
        <w:adjustRightInd w:val="0"/>
        <w:rPr>
          <w:rFonts w:eastAsiaTheme="minorHAnsi"/>
          <w:i/>
          <w:iCs/>
        </w:rPr>
      </w:pPr>
    </w:p>
    <w:p w:rsidR="002D0C59" w:rsidRPr="002D0C59" w:rsidRDefault="00B74045" w:rsidP="002D0C59">
      <w:pPr>
        <w:autoSpaceDE w:val="0"/>
        <w:autoSpaceDN w:val="0"/>
        <w:adjustRightInd w:val="0"/>
        <w:rPr>
          <w:rFonts w:eastAsiaTheme="minorHAnsi"/>
        </w:rPr>
      </w:pPr>
      <w:r>
        <w:rPr>
          <w:rFonts w:eastAsiaTheme="minorHAnsi"/>
        </w:rPr>
        <w:t>2</w:t>
      </w:r>
      <w:r w:rsidR="002D0C59" w:rsidRPr="002D0C59">
        <w:rPr>
          <w:rFonts w:eastAsiaTheme="minorHAnsi"/>
        </w:rPr>
        <w:t>. We will continue to strategically develop new facul</w:t>
      </w:r>
      <w:r w:rsidR="002D0C59">
        <w:rPr>
          <w:rFonts w:eastAsiaTheme="minorHAnsi"/>
        </w:rPr>
        <w:t xml:space="preserve">ty-led programs that serve GVSU </w:t>
      </w:r>
      <w:r w:rsidR="002D0C59" w:rsidRPr="002D0C59">
        <w:rPr>
          <w:rFonts w:eastAsiaTheme="minorHAnsi"/>
        </w:rPr>
        <w:t>students, especially those which will attract greater stude</w:t>
      </w:r>
      <w:r w:rsidR="002D0C59">
        <w:rPr>
          <w:rFonts w:eastAsiaTheme="minorHAnsi"/>
        </w:rPr>
        <w:t xml:space="preserve">nt participation. We do plan to </w:t>
      </w:r>
      <w:r w:rsidR="002D0C59" w:rsidRPr="002D0C59">
        <w:rPr>
          <w:rFonts w:eastAsiaTheme="minorHAnsi"/>
        </w:rPr>
        <w:t>try to create a Spring-term program that targets student-athletes as participants, as well</w:t>
      </w:r>
    </w:p>
    <w:p w:rsidR="002D0C59" w:rsidRPr="002D0C59" w:rsidRDefault="002D0C59" w:rsidP="002D0C59">
      <w:pPr>
        <w:autoSpaceDE w:val="0"/>
        <w:autoSpaceDN w:val="0"/>
        <w:adjustRightInd w:val="0"/>
        <w:rPr>
          <w:rFonts w:eastAsiaTheme="minorHAnsi"/>
        </w:rPr>
      </w:pPr>
      <w:proofErr w:type="gramStart"/>
      <w:r w:rsidRPr="002D0C59">
        <w:rPr>
          <w:rFonts w:eastAsiaTheme="minorHAnsi"/>
        </w:rPr>
        <w:t>as</w:t>
      </w:r>
      <w:proofErr w:type="gramEnd"/>
      <w:r w:rsidRPr="002D0C59">
        <w:rPr>
          <w:rFonts w:eastAsiaTheme="minorHAnsi"/>
        </w:rPr>
        <w:t xml:space="preserve"> a program to support the international and servi</w:t>
      </w:r>
      <w:r>
        <w:rPr>
          <w:rFonts w:eastAsiaTheme="minorHAnsi"/>
        </w:rPr>
        <w:t xml:space="preserve">ce-learning goals of the Honors </w:t>
      </w:r>
      <w:r w:rsidRPr="002D0C59">
        <w:rPr>
          <w:rFonts w:eastAsiaTheme="minorHAnsi"/>
        </w:rPr>
        <w:t xml:space="preserve">College. </w:t>
      </w:r>
      <w:r w:rsidRPr="002D0C59">
        <w:rPr>
          <w:rFonts w:eastAsiaTheme="minorHAnsi"/>
          <w:i/>
          <w:iCs/>
        </w:rPr>
        <w:t>Measurement: new program development (number and type).</w:t>
      </w:r>
    </w:p>
    <w:p w:rsidR="002D0C59" w:rsidRPr="002D0C59" w:rsidRDefault="002D0C59" w:rsidP="002D0C59">
      <w:pPr>
        <w:autoSpaceDE w:val="0"/>
        <w:autoSpaceDN w:val="0"/>
        <w:adjustRightInd w:val="0"/>
        <w:rPr>
          <w:rFonts w:eastAsiaTheme="minorHAnsi"/>
          <w:i/>
          <w:iCs/>
        </w:rPr>
      </w:pPr>
    </w:p>
    <w:p w:rsidR="002D0C59" w:rsidRPr="002D0C59" w:rsidRDefault="004D2239" w:rsidP="002D0C59">
      <w:pPr>
        <w:autoSpaceDE w:val="0"/>
        <w:autoSpaceDN w:val="0"/>
        <w:adjustRightInd w:val="0"/>
        <w:rPr>
          <w:rFonts w:eastAsiaTheme="minorHAnsi"/>
        </w:rPr>
      </w:pPr>
      <w:r>
        <w:rPr>
          <w:rFonts w:eastAsiaTheme="minorHAnsi"/>
        </w:rPr>
        <w:t>3</w:t>
      </w:r>
      <w:r w:rsidR="002D0C59" w:rsidRPr="002D0C59">
        <w:rPr>
          <w:rFonts w:eastAsiaTheme="minorHAnsi"/>
        </w:rPr>
        <w:t>. The current array of comprehensive partnerships is s</w:t>
      </w:r>
      <w:r w:rsidR="002D0C59">
        <w:rPr>
          <w:rFonts w:eastAsiaTheme="minorHAnsi"/>
        </w:rPr>
        <w:t xml:space="preserve">olid, but we will be seeking to </w:t>
      </w:r>
      <w:r w:rsidR="002D0C59" w:rsidRPr="002D0C59">
        <w:rPr>
          <w:rFonts w:eastAsiaTheme="minorHAnsi"/>
        </w:rPr>
        <w:t>strengthen them further by broadening the scope of f</w:t>
      </w:r>
      <w:r w:rsidR="002D0C59">
        <w:rPr>
          <w:rFonts w:eastAsiaTheme="minorHAnsi"/>
        </w:rPr>
        <w:t xml:space="preserve">aculty and student involvement. </w:t>
      </w:r>
      <w:r w:rsidR="002D0C59" w:rsidRPr="002D0C59">
        <w:rPr>
          <w:rFonts w:eastAsiaTheme="minorHAnsi"/>
        </w:rPr>
        <w:t>Additional partnerships will be added with the following priorities: 1. Support for the</w:t>
      </w:r>
    </w:p>
    <w:p w:rsidR="002D0C59" w:rsidRPr="002D0C59" w:rsidRDefault="002D0C59" w:rsidP="002D0C59">
      <w:pPr>
        <w:autoSpaceDE w:val="0"/>
        <w:autoSpaceDN w:val="0"/>
        <w:adjustRightInd w:val="0"/>
        <w:rPr>
          <w:rFonts w:eastAsiaTheme="minorHAnsi"/>
        </w:rPr>
      </w:pPr>
      <w:r w:rsidRPr="002D0C59">
        <w:rPr>
          <w:rFonts w:eastAsiaTheme="minorHAnsi"/>
        </w:rPr>
        <w:t>international Area Studies programs (e.g., Latin America</w:t>
      </w:r>
      <w:r>
        <w:rPr>
          <w:rFonts w:eastAsiaTheme="minorHAnsi"/>
        </w:rPr>
        <w:t xml:space="preserve">n Studies, Middle East Studies, </w:t>
      </w:r>
      <w:r w:rsidRPr="002D0C59">
        <w:rPr>
          <w:rFonts w:eastAsiaTheme="minorHAnsi"/>
        </w:rPr>
        <w:t>etc.), the language programs in MLL, and any particul</w:t>
      </w:r>
      <w:r>
        <w:rPr>
          <w:rFonts w:eastAsiaTheme="minorHAnsi"/>
        </w:rPr>
        <w:t xml:space="preserve">ar regional gaps that may exist </w:t>
      </w:r>
      <w:r w:rsidRPr="002D0C59">
        <w:rPr>
          <w:rFonts w:eastAsiaTheme="minorHAnsi"/>
        </w:rPr>
        <w:t xml:space="preserve">(e.g., India, South America, Russia, and possibly Southern Africa). </w:t>
      </w:r>
      <w:r w:rsidRPr="002D0C59">
        <w:rPr>
          <w:rFonts w:eastAsiaTheme="minorHAnsi"/>
          <w:i/>
          <w:iCs/>
        </w:rPr>
        <w:t>Measurement: number</w:t>
      </w:r>
    </w:p>
    <w:p w:rsidR="002D0C59" w:rsidRPr="002D0C59" w:rsidRDefault="002D0C59" w:rsidP="002D0C59">
      <w:pPr>
        <w:autoSpaceDE w:val="0"/>
        <w:autoSpaceDN w:val="0"/>
        <w:adjustRightInd w:val="0"/>
        <w:rPr>
          <w:rFonts w:eastAsiaTheme="minorHAnsi"/>
          <w:i/>
          <w:iCs/>
        </w:rPr>
      </w:pPr>
      <w:proofErr w:type="gramStart"/>
      <w:r w:rsidRPr="002D0C59">
        <w:rPr>
          <w:rFonts w:eastAsiaTheme="minorHAnsi"/>
          <w:i/>
          <w:iCs/>
        </w:rPr>
        <w:t>and</w:t>
      </w:r>
      <w:proofErr w:type="gramEnd"/>
      <w:r w:rsidRPr="002D0C59">
        <w:rPr>
          <w:rFonts w:eastAsiaTheme="minorHAnsi"/>
          <w:i/>
          <w:iCs/>
        </w:rPr>
        <w:t xml:space="preserve"> type of partnerships; numbers of students, faculty, staff participating.</w:t>
      </w:r>
    </w:p>
    <w:p w:rsidR="002D0C59" w:rsidRPr="002D0C59" w:rsidRDefault="002D0C59" w:rsidP="002D0C59">
      <w:pPr>
        <w:autoSpaceDE w:val="0"/>
        <w:autoSpaceDN w:val="0"/>
        <w:adjustRightInd w:val="0"/>
        <w:rPr>
          <w:rFonts w:eastAsiaTheme="minorHAnsi"/>
          <w:i/>
          <w:iCs/>
        </w:rPr>
      </w:pPr>
    </w:p>
    <w:p w:rsidR="002D0C59" w:rsidRPr="002D0C59" w:rsidRDefault="004D2239" w:rsidP="002D0C59">
      <w:pPr>
        <w:autoSpaceDE w:val="0"/>
        <w:autoSpaceDN w:val="0"/>
        <w:adjustRightInd w:val="0"/>
        <w:rPr>
          <w:rFonts w:eastAsiaTheme="minorHAnsi"/>
        </w:rPr>
      </w:pPr>
      <w:r>
        <w:rPr>
          <w:rFonts w:eastAsiaTheme="minorHAnsi"/>
        </w:rPr>
        <w:t>4</w:t>
      </w:r>
      <w:r w:rsidR="002D0C59" w:rsidRPr="002D0C59">
        <w:rPr>
          <w:rFonts w:eastAsiaTheme="minorHAnsi"/>
        </w:rPr>
        <w:t xml:space="preserve">. Continue to leverage additional funding in order </w:t>
      </w:r>
      <w:r w:rsidR="002D0C59">
        <w:rPr>
          <w:rFonts w:eastAsiaTheme="minorHAnsi"/>
        </w:rPr>
        <w:t xml:space="preserve">to achieve goals. This includes </w:t>
      </w:r>
      <w:r w:rsidR="002D0C59" w:rsidRPr="002D0C59">
        <w:rPr>
          <w:rFonts w:eastAsiaTheme="minorHAnsi"/>
        </w:rPr>
        <w:t>additional scholarship support for students to study abroad (GVSU b</w:t>
      </w:r>
      <w:r w:rsidR="002D0C59">
        <w:rPr>
          <w:rFonts w:eastAsiaTheme="minorHAnsi"/>
        </w:rPr>
        <w:t xml:space="preserve">ase funding </w:t>
      </w:r>
      <w:r w:rsidR="002D0C59" w:rsidRPr="002D0C59">
        <w:rPr>
          <w:rFonts w:eastAsiaTheme="minorHAnsi"/>
        </w:rPr>
        <w:t xml:space="preserve">and/or endowed scholarships), and external grants. </w:t>
      </w:r>
      <w:r w:rsidR="002D0C59" w:rsidRPr="002D0C59">
        <w:rPr>
          <w:rFonts w:eastAsiaTheme="minorHAnsi"/>
          <w:i/>
          <w:iCs/>
        </w:rPr>
        <w:t>Measurement: additional scholarship</w:t>
      </w:r>
    </w:p>
    <w:p w:rsidR="002D0C59" w:rsidRPr="002D0C59" w:rsidRDefault="002D0C59" w:rsidP="002D0C59">
      <w:pPr>
        <w:autoSpaceDE w:val="0"/>
        <w:autoSpaceDN w:val="0"/>
        <w:adjustRightInd w:val="0"/>
        <w:rPr>
          <w:rFonts w:eastAsiaTheme="minorHAnsi"/>
          <w:i/>
          <w:iCs/>
        </w:rPr>
      </w:pPr>
    </w:p>
    <w:p w:rsidR="002D0C59" w:rsidRPr="002D0C59" w:rsidRDefault="004D2239" w:rsidP="002D0C59">
      <w:pPr>
        <w:autoSpaceDE w:val="0"/>
        <w:autoSpaceDN w:val="0"/>
        <w:adjustRightInd w:val="0"/>
        <w:rPr>
          <w:rFonts w:eastAsiaTheme="minorHAnsi"/>
        </w:rPr>
      </w:pPr>
      <w:proofErr w:type="gramStart"/>
      <w:r>
        <w:rPr>
          <w:rFonts w:eastAsiaTheme="minorHAnsi"/>
        </w:rPr>
        <w:t>5</w:t>
      </w:r>
      <w:r w:rsidR="002D0C59" w:rsidRPr="002D0C59">
        <w:rPr>
          <w:rFonts w:eastAsiaTheme="minorHAnsi"/>
        </w:rPr>
        <w:t>.Strategize</w:t>
      </w:r>
      <w:proofErr w:type="gramEnd"/>
      <w:r w:rsidR="002D0C59" w:rsidRPr="002D0C59">
        <w:rPr>
          <w:rFonts w:eastAsiaTheme="minorHAnsi"/>
        </w:rPr>
        <w:t xml:space="preserve"> and coordinate internationalization efforts </w:t>
      </w:r>
      <w:r w:rsidR="002D0C59">
        <w:rPr>
          <w:rFonts w:eastAsiaTheme="minorHAnsi"/>
        </w:rPr>
        <w:t xml:space="preserve">at the level of academic units. </w:t>
      </w:r>
      <w:r w:rsidR="002D0C59" w:rsidRPr="002D0C59">
        <w:rPr>
          <w:rFonts w:eastAsiaTheme="minorHAnsi"/>
        </w:rPr>
        <w:t>Work with individual Colleges and units to develo</w:t>
      </w:r>
      <w:r w:rsidR="002D0C59">
        <w:rPr>
          <w:rFonts w:eastAsiaTheme="minorHAnsi"/>
        </w:rPr>
        <w:t xml:space="preserve">p internationalization plan and </w:t>
      </w:r>
      <w:r w:rsidR="002D0C59" w:rsidRPr="002D0C59">
        <w:rPr>
          <w:rFonts w:eastAsiaTheme="minorHAnsi"/>
        </w:rPr>
        <w:t xml:space="preserve">implement them. </w:t>
      </w:r>
      <w:r w:rsidR="002D0C59" w:rsidRPr="002D0C59">
        <w:rPr>
          <w:rFonts w:eastAsiaTheme="minorHAnsi"/>
          <w:i/>
          <w:iCs/>
        </w:rPr>
        <w:t>Measurement: Number of study abroad sheets available for majors.</w:t>
      </w:r>
    </w:p>
    <w:p w:rsidR="002D0C59" w:rsidRPr="002D0C59" w:rsidRDefault="002D0C59" w:rsidP="002D0C59">
      <w:pPr>
        <w:autoSpaceDE w:val="0"/>
        <w:autoSpaceDN w:val="0"/>
        <w:adjustRightInd w:val="0"/>
        <w:rPr>
          <w:rFonts w:eastAsiaTheme="minorHAnsi"/>
          <w:i/>
          <w:iCs/>
        </w:rPr>
      </w:pPr>
    </w:p>
    <w:p w:rsidR="002D0C59" w:rsidRPr="002D0C59" w:rsidRDefault="004D2239" w:rsidP="002D0C59">
      <w:pPr>
        <w:autoSpaceDE w:val="0"/>
        <w:autoSpaceDN w:val="0"/>
        <w:adjustRightInd w:val="0"/>
        <w:rPr>
          <w:rFonts w:eastAsiaTheme="minorHAnsi"/>
        </w:rPr>
      </w:pPr>
      <w:proofErr w:type="gramStart"/>
      <w:r>
        <w:rPr>
          <w:rFonts w:eastAsiaTheme="minorHAnsi"/>
        </w:rPr>
        <w:t>6</w:t>
      </w:r>
      <w:r w:rsidR="002D0C59" w:rsidRPr="002D0C59">
        <w:rPr>
          <w:rFonts w:eastAsiaTheme="minorHAnsi"/>
        </w:rPr>
        <w:t>.Develop</w:t>
      </w:r>
      <w:proofErr w:type="gramEnd"/>
      <w:r w:rsidR="002D0C59" w:rsidRPr="002D0C59">
        <w:rPr>
          <w:rFonts w:eastAsiaTheme="minorHAnsi"/>
        </w:rPr>
        <w:t xml:space="preserve"> at least one more cost-effective internship ex</w:t>
      </w:r>
      <w:r w:rsidR="002D0C59">
        <w:rPr>
          <w:rFonts w:eastAsiaTheme="minorHAnsi"/>
        </w:rPr>
        <w:t xml:space="preserve">perience for students (e.g., in </w:t>
      </w:r>
      <w:r w:rsidR="002D0C59" w:rsidRPr="002D0C59">
        <w:rPr>
          <w:rFonts w:eastAsiaTheme="minorHAnsi"/>
        </w:rPr>
        <w:t xml:space="preserve">Mexico or Latin America). </w:t>
      </w:r>
      <w:r w:rsidR="002D0C59" w:rsidRPr="002D0C59">
        <w:rPr>
          <w:rFonts w:eastAsiaTheme="minorHAnsi"/>
          <w:i/>
          <w:iCs/>
        </w:rPr>
        <w:t xml:space="preserve">Measurement: </w:t>
      </w:r>
      <w:r w:rsidR="00DA6BAB">
        <w:rPr>
          <w:rFonts w:eastAsiaTheme="minorHAnsi"/>
          <w:i/>
          <w:iCs/>
        </w:rPr>
        <w:t>number of internship experiences</w:t>
      </w:r>
    </w:p>
    <w:p w:rsidR="002D0C59" w:rsidRPr="002D0C59" w:rsidRDefault="002D0C59" w:rsidP="002D0C59">
      <w:pPr>
        <w:autoSpaceDE w:val="0"/>
        <w:autoSpaceDN w:val="0"/>
        <w:adjustRightInd w:val="0"/>
        <w:rPr>
          <w:rFonts w:eastAsiaTheme="minorHAnsi"/>
          <w:i/>
          <w:iCs/>
        </w:rPr>
      </w:pPr>
    </w:p>
    <w:p w:rsidR="002D0C59" w:rsidRPr="002D0C59" w:rsidRDefault="004D2239" w:rsidP="002D0C59">
      <w:pPr>
        <w:autoSpaceDE w:val="0"/>
        <w:autoSpaceDN w:val="0"/>
        <w:adjustRightInd w:val="0"/>
        <w:rPr>
          <w:rFonts w:eastAsiaTheme="minorHAnsi"/>
        </w:rPr>
      </w:pPr>
      <w:proofErr w:type="gramStart"/>
      <w:r>
        <w:rPr>
          <w:rFonts w:eastAsiaTheme="minorHAnsi"/>
        </w:rPr>
        <w:t>7</w:t>
      </w:r>
      <w:r w:rsidR="002D0C59" w:rsidRPr="002D0C59">
        <w:rPr>
          <w:rFonts w:eastAsiaTheme="minorHAnsi"/>
        </w:rPr>
        <w:t>.Adjust</w:t>
      </w:r>
      <w:proofErr w:type="gramEnd"/>
      <w:r w:rsidR="002D0C59" w:rsidRPr="002D0C59">
        <w:rPr>
          <w:rFonts w:eastAsiaTheme="minorHAnsi"/>
        </w:rPr>
        <w:t xml:space="preserve"> current International Student servic</w:t>
      </w:r>
      <w:r w:rsidR="002D0C59">
        <w:rPr>
          <w:rFonts w:eastAsiaTheme="minorHAnsi"/>
        </w:rPr>
        <w:t xml:space="preserve">es to support larger numbers of </w:t>
      </w:r>
      <w:r w:rsidR="002D0C59" w:rsidRPr="002D0C59">
        <w:rPr>
          <w:rFonts w:eastAsiaTheme="minorHAnsi"/>
        </w:rPr>
        <w:t xml:space="preserve">International Students (as expected as GVSU gets closer </w:t>
      </w:r>
      <w:r w:rsidR="002D0C59">
        <w:rPr>
          <w:rFonts w:eastAsiaTheme="minorHAnsi"/>
        </w:rPr>
        <w:t xml:space="preserve">to its goal of 3% international </w:t>
      </w:r>
      <w:r w:rsidR="002D0C59" w:rsidRPr="002D0C59">
        <w:rPr>
          <w:rFonts w:eastAsiaTheme="minorHAnsi"/>
        </w:rPr>
        <w:t xml:space="preserve">student enrollment—GVSU sub-goal 2.5.3). </w:t>
      </w:r>
      <w:r w:rsidR="002D0C59" w:rsidRPr="002D0C59">
        <w:rPr>
          <w:rFonts w:eastAsiaTheme="minorHAnsi"/>
          <w:i/>
          <w:iCs/>
        </w:rPr>
        <w:t>Measurement: Measures taken to adapt to larger</w:t>
      </w:r>
    </w:p>
    <w:p w:rsidR="002D0C59" w:rsidRPr="002D0C59" w:rsidRDefault="002D0C59" w:rsidP="002D0C59">
      <w:pPr>
        <w:autoSpaceDE w:val="0"/>
        <w:autoSpaceDN w:val="0"/>
        <w:adjustRightInd w:val="0"/>
        <w:rPr>
          <w:rFonts w:eastAsiaTheme="minorHAnsi"/>
          <w:i/>
          <w:iCs/>
        </w:rPr>
      </w:pPr>
      <w:proofErr w:type="gramStart"/>
      <w:r w:rsidRPr="002D0C59">
        <w:rPr>
          <w:rFonts w:eastAsiaTheme="minorHAnsi"/>
          <w:i/>
          <w:iCs/>
        </w:rPr>
        <w:t>groups/numbers</w:t>
      </w:r>
      <w:proofErr w:type="gramEnd"/>
      <w:r w:rsidRPr="002D0C59">
        <w:rPr>
          <w:rFonts w:eastAsiaTheme="minorHAnsi"/>
          <w:i/>
          <w:iCs/>
        </w:rPr>
        <w:t xml:space="preserve"> of international students.</w:t>
      </w:r>
    </w:p>
    <w:p w:rsidR="002D0C59" w:rsidRPr="002D0C59" w:rsidRDefault="002D0C59" w:rsidP="002D0C59">
      <w:pPr>
        <w:autoSpaceDE w:val="0"/>
        <w:autoSpaceDN w:val="0"/>
        <w:adjustRightInd w:val="0"/>
        <w:rPr>
          <w:rFonts w:eastAsiaTheme="minorHAnsi"/>
          <w:i/>
          <w:iCs/>
        </w:rPr>
      </w:pPr>
    </w:p>
    <w:p w:rsidR="002D0C59" w:rsidRDefault="002D0C59" w:rsidP="002D0C59">
      <w:pPr>
        <w:autoSpaceDE w:val="0"/>
        <w:autoSpaceDN w:val="0"/>
        <w:adjustRightInd w:val="0"/>
        <w:rPr>
          <w:rFonts w:eastAsiaTheme="minorHAnsi"/>
          <w:i/>
          <w:iCs/>
        </w:rPr>
      </w:pPr>
    </w:p>
    <w:p w:rsidR="00BC1590" w:rsidRDefault="00BC1590" w:rsidP="002D0C59">
      <w:pPr>
        <w:autoSpaceDE w:val="0"/>
        <w:autoSpaceDN w:val="0"/>
        <w:adjustRightInd w:val="0"/>
        <w:rPr>
          <w:rFonts w:eastAsiaTheme="minorHAnsi"/>
          <w:i/>
          <w:iCs/>
        </w:rPr>
      </w:pPr>
    </w:p>
    <w:p w:rsidR="00DA6BAB" w:rsidRDefault="00DA6BAB" w:rsidP="002D0C59">
      <w:pPr>
        <w:autoSpaceDE w:val="0"/>
        <w:autoSpaceDN w:val="0"/>
        <w:adjustRightInd w:val="0"/>
        <w:rPr>
          <w:rFonts w:eastAsiaTheme="minorHAnsi"/>
          <w:i/>
          <w:iCs/>
        </w:rPr>
      </w:pPr>
    </w:p>
    <w:p w:rsidR="00DA6BAB" w:rsidRDefault="00DA6BAB" w:rsidP="002D0C59">
      <w:pPr>
        <w:autoSpaceDE w:val="0"/>
        <w:autoSpaceDN w:val="0"/>
        <w:adjustRightInd w:val="0"/>
        <w:rPr>
          <w:rFonts w:eastAsiaTheme="minorHAnsi"/>
          <w:i/>
          <w:iCs/>
        </w:rPr>
      </w:pPr>
    </w:p>
    <w:p w:rsidR="00DA6BAB" w:rsidRPr="002D0C59" w:rsidRDefault="00DA6BAB" w:rsidP="002D0C59">
      <w:pPr>
        <w:autoSpaceDE w:val="0"/>
        <w:autoSpaceDN w:val="0"/>
        <w:adjustRightInd w:val="0"/>
        <w:rPr>
          <w:rFonts w:eastAsiaTheme="minorHAnsi"/>
          <w:i/>
          <w:iCs/>
        </w:rPr>
      </w:pPr>
    </w:p>
    <w:p w:rsidR="002D0C59" w:rsidRPr="002D0C59" w:rsidRDefault="002D0C59" w:rsidP="002D0C59">
      <w:pPr>
        <w:autoSpaceDE w:val="0"/>
        <w:autoSpaceDN w:val="0"/>
        <w:adjustRightInd w:val="0"/>
        <w:rPr>
          <w:rFonts w:ascii="Palatino-Italic" w:eastAsiaTheme="minorHAnsi" w:hAnsi="Palatino-Italic" w:cs="Palatino-Italic"/>
          <w:i/>
          <w:iCs/>
          <w:sz w:val="22"/>
          <w:szCs w:val="22"/>
        </w:rPr>
      </w:pPr>
    </w:p>
    <w:tbl>
      <w:tblPr>
        <w:tblW w:w="1425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0"/>
        <w:gridCol w:w="1080"/>
        <w:gridCol w:w="2130"/>
        <w:gridCol w:w="1680"/>
        <w:gridCol w:w="1320"/>
        <w:gridCol w:w="840"/>
        <w:gridCol w:w="2160"/>
        <w:gridCol w:w="1560"/>
        <w:gridCol w:w="1080"/>
        <w:gridCol w:w="1290"/>
      </w:tblGrid>
      <w:tr w:rsidR="002D0C59" w:rsidRPr="008D12D1" w:rsidTr="00BC1590">
        <w:tc>
          <w:tcPr>
            <w:tcW w:w="1110" w:type="dxa"/>
            <w:shd w:val="clear" w:color="auto" w:fill="D9D9D9"/>
          </w:tcPr>
          <w:p w:rsidR="002D0C59" w:rsidRPr="001144A0" w:rsidRDefault="002D0C59" w:rsidP="00B74045">
            <w:pPr>
              <w:jc w:val="center"/>
              <w:rPr>
                <w:b/>
                <w:bCs/>
                <w:sz w:val="18"/>
                <w:szCs w:val="18"/>
              </w:rPr>
            </w:pPr>
            <w:r w:rsidRPr="001144A0">
              <w:rPr>
                <w:b/>
                <w:bCs/>
                <w:sz w:val="18"/>
                <w:szCs w:val="18"/>
              </w:rPr>
              <w:t xml:space="preserve">University </w:t>
            </w:r>
          </w:p>
          <w:p w:rsidR="002D0C59" w:rsidRPr="001144A0" w:rsidRDefault="002D0C59" w:rsidP="00B74045">
            <w:pPr>
              <w:jc w:val="center"/>
              <w:rPr>
                <w:b/>
                <w:bCs/>
                <w:sz w:val="18"/>
                <w:szCs w:val="18"/>
              </w:rPr>
            </w:pPr>
            <w:r w:rsidRPr="001144A0">
              <w:rPr>
                <w:b/>
                <w:bCs/>
                <w:sz w:val="18"/>
                <w:szCs w:val="18"/>
              </w:rPr>
              <w:t>Goal or</w:t>
            </w:r>
          </w:p>
          <w:p w:rsidR="002D0C59" w:rsidRPr="001144A0" w:rsidRDefault="002D0C59" w:rsidP="00B74045">
            <w:pPr>
              <w:jc w:val="center"/>
              <w:rPr>
                <w:rFonts w:ascii="Calibri" w:hAnsi="Calibri" w:cs="Calibri"/>
                <w:b/>
                <w:bCs/>
                <w:sz w:val="18"/>
                <w:szCs w:val="18"/>
              </w:rPr>
            </w:pPr>
            <w:r w:rsidRPr="001144A0">
              <w:rPr>
                <w:b/>
                <w:bCs/>
                <w:sz w:val="18"/>
                <w:szCs w:val="18"/>
              </w:rPr>
              <w:t>Objective</w:t>
            </w:r>
          </w:p>
        </w:tc>
        <w:tc>
          <w:tcPr>
            <w:tcW w:w="1080" w:type="dxa"/>
            <w:shd w:val="clear" w:color="auto" w:fill="D9D9D9"/>
          </w:tcPr>
          <w:p w:rsidR="002D0C59" w:rsidRPr="001144A0" w:rsidRDefault="002D0C59" w:rsidP="00B74045">
            <w:pPr>
              <w:jc w:val="center"/>
              <w:rPr>
                <w:b/>
                <w:bCs/>
                <w:sz w:val="18"/>
                <w:szCs w:val="18"/>
              </w:rPr>
            </w:pPr>
            <w:r w:rsidRPr="001144A0">
              <w:rPr>
                <w:b/>
                <w:bCs/>
                <w:sz w:val="18"/>
                <w:szCs w:val="18"/>
              </w:rPr>
              <w:t>Brooks College</w:t>
            </w:r>
          </w:p>
          <w:p w:rsidR="002D0C59" w:rsidRPr="001144A0" w:rsidRDefault="00BC1590" w:rsidP="00B74045">
            <w:pPr>
              <w:jc w:val="center"/>
              <w:rPr>
                <w:rFonts w:ascii="Calibri" w:hAnsi="Calibri" w:cs="Calibri"/>
                <w:b/>
                <w:bCs/>
                <w:sz w:val="18"/>
                <w:szCs w:val="18"/>
              </w:rPr>
            </w:pPr>
            <w:r>
              <w:rPr>
                <w:b/>
                <w:bCs/>
                <w:sz w:val="18"/>
                <w:szCs w:val="18"/>
              </w:rPr>
              <w:t>Goal or Objective</w:t>
            </w:r>
          </w:p>
        </w:tc>
        <w:tc>
          <w:tcPr>
            <w:tcW w:w="2130" w:type="dxa"/>
            <w:shd w:val="clear" w:color="auto" w:fill="D9D9D9"/>
          </w:tcPr>
          <w:p w:rsidR="002D0C59" w:rsidRPr="001144A0" w:rsidRDefault="00B74045" w:rsidP="00B74045">
            <w:pPr>
              <w:rPr>
                <w:rFonts w:ascii="Calibri" w:hAnsi="Calibri" w:cs="Calibri"/>
                <w:b/>
                <w:bCs/>
                <w:sz w:val="18"/>
                <w:szCs w:val="18"/>
              </w:rPr>
            </w:pPr>
            <w:r>
              <w:rPr>
                <w:b/>
                <w:bCs/>
                <w:sz w:val="18"/>
                <w:szCs w:val="18"/>
              </w:rPr>
              <w:t xml:space="preserve">Padnos International Center </w:t>
            </w:r>
            <w:r w:rsidR="002D0C59">
              <w:rPr>
                <w:b/>
                <w:bCs/>
                <w:sz w:val="18"/>
                <w:szCs w:val="18"/>
              </w:rPr>
              <w:t xml:space="preserve">Objective </w:t>
            </w:r>
          </w:p>
        </w:tc>
        <w:tc>
          <w:tcPr>
            <w:tcW w:w="1680" w:type="dxa"/>
            <w:shd w:val="clear" w:color="auto" w:fill="D9D9D9"/>
          </w:tcPr>
          <w:p w:rsidR="002D0C59" w:rsidRPr="001144A0" w:rsidRDefault="002D0C59" w:rsidP="00B74045">
            <w:pPr>
              <w:jc w:val="center"/>
              <w:rPr>
                <w:rFonts w:ascii="Calibri" w:hAnsi="Calibri" w:cs="Calibri"/>
                <w:b/>
                <w:bCs/>
                <w:sz w:val="18"/>
                <w:szCs w:val="18"/>
              </w:rPr>
            </w:pPr>
            <w:r w:rsidRPr="001144A0">
              <w:rPr>
                <w:b/>
                <w:bCs/>
                <w:sz w:val="18"/>
                <w:szCs w:val="18"/>
              </w:rPr>
              <w:t>Metric</w:t>
            </w:r>
          </w:p>
        </w:tc>
        <w:tc>
          <w:tcPr>
            <w:tcW w:w="1320" w:type="dxa"/>
            <w:shd w:val="clear" w:color="auto" w:fill="D9D9D9"/>
          </w:tcPr>
          <w:p w:rsidR="002D0C59" w:rsidRPr="001144A0" w:rsidRDefault="002D0C59" w:rsidP="00B74045">
            <w:pPr>
              <w:jc w:val="center"/>
              <w:rPr>
                <w:rFonts w:ascii="Calibri" w:hAnsi="Calibri" w:cs="Calibri"/>
                <w:b/>
                <w:bCs/>
                <w:sz w:val="18"/>
                <w:szCs w:val="18"/>
              </w:rPr>
            </w:pPr>
            <w:r w:rsidRPr="001144A0">
              <w:rPr>
                <w:b/>
                <w:bCs/>
                <w:sz w:val="18"/>
                <w:szCs w:val="18"/>
              </w:rPr>
              <w:t>Baseline</w:t>
            </w:r>
          </w:p>
        </w:tc>
        <w:tc>
          <w:tcPr>
            <w:tcW w:w="840" w:type="dxa"/>
            <w:shd w:val="clear" w:color="auto" w:fill="D9D9D9"/>
          </w:tcPr>
          <w:p w:rsidR="002D0C59" w:rsidRPr="001144A0" w:rsidRDefault="002D0C59" w:rsidP="00B74045">
            <w:pPr>
              <w:jc w:val="center"/>
              <w:rPr>
                <w:rFonts w:ascii="Calibri" w:hAnsi="Calibri" w:cs="Calibri"/>
                <w:b/>
                <w:bCs/>
                <w:sz w:val="18"/>
                <w:szCs w:val="18"/>
              </w:rPr>
            </w:pPr>
            <w:r w:rsidRPr="001144A0">
              <w:rPr>
                <w:b/>
                <w:bCs/>
                <w:sz w:val="18"/>
                <w:szCs w:val="18"/>
              </w:rPr>
              <w:t>Time-frame</w:t>
            </w:r>
          </w:p>
        </w:tc>
        <w:tc>
          <w:tcPr>
            <w:tcW w:w="2160" w:type="dxa"/>
            <w:shd w:val="clear" w:color="auto" w:fill="D9D9D9"/>
          </w:tcPr>
          <w:p w:rsidR="002D0C59" w:rsidRPr="001144A0" w:rsidRDefault="002D0C59" w:rsidP="00B74045">
            <w:pPr>
              <w:jc w:val="center"/>
              <w:rPr>
                <w:b/>
                <w:bCs/>
                <w:sz w:val="18"/>
                <w:szCs w:val="18"/>
              </w:rPr>
            </w:pPr>
            <w:r>
              <w:rPr>
                <w:b/>
                <w:bCs/>
                <w:sz w:val="18"/>
                <w:szCs w:val="18"/>
              </w:rPr>
              <w:t xml:space="preserve">BCOIS </w:t>
            </w:r>
            <w:r w:rsidRPr="001144A0">
              <w:rPr>
                <w:b/>
                <w:bCs/>
                <w:sz w:val="18"/>
                <w:szCs w:val="18"/>
              </w:rPr>
              <w:t>Strategy(</w:t>
            </w:r>
            <w:proofErr w:type="spellStart"/>
            <w:r w:rsidRPr="001144A0">
              <w:rPr>
                <w:b/>
                <w:bCs/>
                <w:sz w:val="18"/>
                <w:szCs w:val="18"/>
              </w:rPr>
              <w:t>ies</w:t>
            </w:r>
            <w:proofErr w:type="spellEnd"/>
            <w:r w:rsidRPr="001144A0">
              <w:rPr>
                <w:b/>
                <w:bCs/>
                <w:sz w:val="18"/>
                <w:szCs w:val="18"/>
              </w:rPr>
              <w:t>)</w:t>
            </w:r>
          </w:p>
          <w:p w:rsidR="002D0C59" w:rsidRPr="001144A0" w:rsidRDefault="002D0C59" w:rsidP="00B74045">
            <w:pPr>
              <w:jc w:val="center"/>
              <w:rPr>
                <w:rFonts w:ascii="Calibri" w:hAnsi="Calibri" w:cs="Calibri"/>
                <w:b/>
                <w:bCs/>
                <w:sz w:val="18"/>
                <w:szCs w:val="18"/>
              </w:rPr>
            </w:pPr>
            <w:r w:rsidRPr="001144A0">
              <w:rPr>
                <w:b/>
                <w:bCs/>
                <w:sz w:val="18"/>
                <w:szCs w:val="18"/>
              </w:rPr>
              <w:t>Action(s)</w:t>
            </w:r>
          </w:p>
        </w:tc>
        <w:tc>
          <w:tcPr>
            <w:tcW w:w="1560" w:type="dxa"/>
            <w:shd w:val="clear" w:color="auto" w:fill="D9D9D9"/>
          </w:tcPr>
          <w:p w:rsidR="002D0C59" w:rsidRPr="001144A0" w:rsidRDefault="002D0C59" w:rsidP="00B74045">
            <w:pPr>
              <w:rPr>
                <w:rFonts w:ascii="Calibri" w:hAnsi="Calibri" w:cs="Calibri"/>
                <w:b/>
                <w:bCs/>
                <w:sz w:val="18"/>
                <w:szCs w:val="18"/>
              </w:rPr>
            </w:pPr>
            <w:r w:rsidRPr="001144A0">
              <w:rPr>
                <w:b/>
                <w:bCs/>
                <w:sz w:val="18"/>
                <w:szCs w:val="18"/>
              </w:rPr>
              <w:t>Responsible Person/Group</w:t>
            </w:r>
          </w:p>
        </w:tc>
        <w:tc>
          <w:tcPr>
            <w:tcW w:w="1080" w:type="dxa"/>
            <w:shd w:val="clear" w:color="auto" w:fill="D9D9D9"/>
          </w:tcPr>
          <w:p w:rsidR="002D0C59" w:rsidRPr="001144A0" w:rsidRDefault="002D0C59" w:rsidP="00B74045">
            <w:pPr>
              <w:rPr>
                <w:b/>
                <w:bCs/>
                <w:sz w:val="18"/>
                <w:szCs w:val="18"/>
              </w:rPr>
            </w:pPr>
            <w:r w:rsidRPr="001144A0">
              <w:rPr>
                <w:b/>
                <w:bCs/>
                <w:sz w:val="18"/>
                <w:szCs w:val="18"/>
              </w:rPr>
              <w:t>Resources</w:t>
            </w:r>
          </w:p>
          <w:p w:rsidR="002D0C59" w:rsidRPr="001144A0" w:rsidRDefault="002D0C59" w:rsidP="00B74045">
            <w:pPr>
              <w:rPr>
                <w:rFonts w:ascii="Calibri" w:hAnsi="Calibri" w:cs="Calibri"/>
                <w:b/>
                <w:bCs/>
                <w:sz w:val="18"/>
                <w:szCs w:val="18"/>
              </w:rPr>
            </w:pPr>
          </w:p>
        </w:tc>
        <w:tc>
          <w:tcPr>
            <w:tcW w:w="1290" w:type="dxa"/>
            <w:shd w:val="clear" w:color="auto" w:fill="D9D9D9"/>
          </w:tcPr>
          <w:p w:rsidR="002D0C59" w:rsidRPr="001144A0" w:rsidRDefault="002D0C59" w:rsidP="00B74045">
            <w:pPr>
              <w:rPr>
                <w:rFonts w:ascii="Calibri" w:hAnsi="Calibri" w:cs="Calibri"/>
                <w:b/>
                <w:bCs/>
                <w:sz w:val="18"/>
                <w:szCs w:val="18"/>
              </w:rPr>
            </w:pPr>
            <w:r w:rsidRPr="001144A0">
              <w:rPr>
                <w:b/>
                <w:bCs/>
                <w:sz w:val="18"/>
                <w:szCs w:val="18"/>
              </w:rPr>
              <w:t xml:space="preserve">Status </w:t>
            </w:r>
            <w:r>
              <w:rPr>
                <w:b/>
                <w:bCs/>
                <w:sz w:val="18"/>
                <w:szCs w:val="18"/>
              </w:rPr>
              <w:t>as of 12/30/10</w:t>
            </w:r>
          </w:p>
        </w:tc>
      </w:tr>
      <w:tr w:rsidR="00B74045" w:rsidRPr="008D12D1" w:rsidTr="00BC1590">
        <w:tc>
          <w:tcPr>
            <w:tcW w:w="1110" w:type="dxa"/>
            <w:tcBorders>
              <w:bottom w:val="single" w:sz="4" w:space="0" w:color="000000"/>
            </w:tcBorders>
          </w:tcPr>
          <w:p w:rsidR="00B74045" w:rsidRDefault="00B74045" w:rsidP="00B74045">
            <w:pPr>
              <w:rPr>
                <w:sz w:val="18"/>
                <w:szCs w:val="18"/>
              </w:rPr>
            </w:pPr>
          </w:p>
          <w:p w:rsidR="00B74045" w:rsidRDefault="00B74045" w:rsidP="00B74045">
            <w:pPr>
              <w:rPr>
                <w:sz w:val="18"/>
                <w:szCs w:val="18"/>
              </w:rPr>
            </w:pPr>
            <w:r>
              <w:rPr>
                <w:sz w:val="18"/>
                <w:szCs w:val="18"/>
              </w:rPr>
              <w:t>2.5.2</w:t>
            </w:r>
          </w:p>
          <w:p w:rsidR="00B74045" w:rsidRDefault="00B74045" w:rsidP="00B74045">
            <w:pPr>
              <w:rPr>
                <w:sz w:val="18"/>
                <w:szCs w:val="18"/>
              </w:rPr>
            </w:pPr>
          </w:p>
          <w:p w:rsidR="00B74045" w:rsidRPr="001144A0" w:rsidRDefault="00B74045" w:rsidP="00BC1590">
            <w:pPr>
              <w:rPr>
                <w:sz w:val="16"/>
                <w:szCs w:val="16"/>
              </w:rPr>
            </w:pPr>
          </w:p>
        </w:tc>
        <w:tc>
          <w:tcPr>
            <w:tcW w:w="1080" w:type="dxa"/>
          </w:tcPr>
          <w:p w:rsidR="00B74045" w:rsidRPr="001144A0" w:rsidRDefault="0069309A" w:rsidP="00B74045">
            <w:pPr>
              <w:rPr>
                <w:sz w:val="18"/>
                <w:szCs w:val="18"/>
              </w:rPr>
            </w:pPr>
            <w:r>
              <w:rPr>
                <w:sz w:val="18"/>
                <w:szCs w:val="18"/>
              </w:rPr>
              <w:t>1.4, 2.1, 2.2,2.8</w:t>
            </w:r>
          </w:p>
        </w:tc>
        <w:tc>
          <w:tcPr>
            <w:tcW w:w="2130" w:type="dxa"/>
          </w:tcPr>
          <w:p w:rsidR="00B74045" w:rsidRPr="00B74045" w:rsidRDefault="00BC1590" w:rsidP="00B74045">
            <w:pPr>
              <w:rPr>
                <w:sz w:val="18"/>
                <w:szCs w:val="18"/>
              </w:rPr>
            </w:pPr>
            <w:r>
              <w:rPr>
                <w:sz w:val="18"/>
                <w:szCs w:val="18"/>
              </w:rPr>
              <w:t>1.</w:t>
            </w:r>
            <w:r w:rsidR="00B74045">
              <w:rPr>
                <w:sz w:val="18"/>
                <w:szCs w:val="18"/>
              </w:rPr>
              <w:t xml:space="preserve"> </w:t>
            </w:r>
            <w:r w:rsidR="00B74045" w:rsidRPr="00B74045">
              <w:rPr>
                <w:sz w:val="18"/>
                <w:szCs w:val="18"/>
              </w:rPr>
              <w:t xml:space="preserve"> Increase Study Abroad Participation (to 800/year)</w:t>
            </w:r>
          </w:p>
          <w:p w:rsidR="00B74045" w:rsidRPr="00B74045" w:rsidRDefault="00B74045" w:rsidP="00B74045">
            <w:pPr>
              <w:spacing w:before="150"/>
              <w:ind w:left="88"/>
              <w:rPr>
                <w:sz w:val="18"/>
                <w:szCs w:val="18"/>
              </w:rPr>
            </w:pPr>
          </w:p>
        </w:tc>
        <w:tc>
          <w:tcPr>
            <w:tcW w:w="1680" w:type="dxa"/>
          </w:tcPr>
          <w:p w:rsidR="00B74045" w:rsidRPr="001144A0" w:rsidRDefault="00B74045" w:rsidP="00B74045">
            <w:pPr>
              <w:ind w:left="88"/>
              <w:rPr>
                <w:sz w:val="18"/>
                <w:szCs w:val="18"/>
              </w:rPr>
            </w:pPr>
            <w:r>
              <w:rPr>
                <w:sz w:val="18"/>
                <w:szCs w:val="18"/>
              </w:rPr>
              <w:t>Number of study abroad participants annually</w:t>
            </w:r>
          </w:p>
        </w:tc>
        <w:tc>
          <w:tcPr>
            <w:tcW w:w="1320" w:type="dxa"/>
          </w:tcPr>
          <w:p w:rsidR="00B74045" w:rsidRPr="001144A0" w:rsidRDefault="00B74045" w:rsidP="00A03685">
            <w:pPr>
              <w:rPr>
                <w:sz w:val="18"/>
                <w:szCs w:val="18"/>
              </w:rPr>
            </w:pPr>
            <w:r>
              <w:rPr>
                <w:sz w:val="18"/>
                <w:szCs w:val="18"/>
              </w:rPr>
              <w:t>20</w:t>
            </w:r>
            <w:r w:rsidR="00A03685">
              <w:rPr>
                <w:sz w:val="18"/>
                <w:szCs w:val="18"/>
              </w:rPr>
              <w:t>09-</w:t>
            </w:r>
            <w:r>
              <w:rPr>
                <w:sz w:val="18"/>
                <w:szCs w:val="18"/>
              </w:rPr>
              <w:t>10 baseline</w:t>
            </w:r>
            <w:r w:rsidR="00A03685">
              <w:rPr>
                <w:sz w:val="18"/>
                <w:szCs w:val="18"/>
              </w:rPr>
              <w:t>: 721</w:t>
            </w:r>
            <w:r>
              <w:rPr>
                <w:sz w:val="18"/>
                <w:szCs w:val="18"/>
              </w:rPr>
              <w:t xml:space="preserve"> study abroad participants</w:t>
            </w:r>
          </w:p>
        </w:tc>
        <w:tc>
          <w:tcPr>
            <w:tcW w:w="840" w:type="dxa"/>
          </w:tcPr>
          <w:p w:rsidR="00B74045" w:rsidRPr="001144A0" w:rsidRDefault="00B74045" w:rsidP="00B74045">
            <w:pPr>
              <w:rPr>
                <w:sz w:val="18"/>
                <w:szCs w:val="18"/>
              </w:rPr>
            </w:pPr>
            <w:r>
              <w:rPr>
                <w:sz w:val="18"/>
                <w:szCs w:val="18"/>
              </w:rPr>
              <w:t>2010-2015</w:t>
            </w:r>
          </w:p>
        </w:tc>
        <w:tc>
          <w:tcPr>
            <w:tcW w:w="2160" w:type="dxa"/>
          </w:tcPr>
          <w:p w:rsidR="00B74045" w:rsidRDefault="00B74045" w:rsidP="00B74045">
            <w:pPr>
              <w:pStyle w:val="ListParagraph"/>
              <w:numPr>
                <w:ilvl w:val="0"/>
                <w:numId w:val="1"/>
              </w:numPr>
              <w:ind w:left="0"/>
              <w:contextualSpacing/>
              <w:rPr>
                <w:rFonts w:ascii="Times New Roman" w:hAnsi="Times New Roman" w:cs="Times New Roman"/>
                <w:sz w:val="18"/>
                <w:szCs w:val="18"/>
              </w:rPr>
            </w:pPr>
            <w:r w:rsidRPr="001144A0">
              <w:rPr>
                <w:rFonts w:ascii="Times New Roman" w:hAnsi="Times New Roman" w:cs="Times New Roman"/>
                <w:sz w:val="18"/>
                <w:szCs w:val="18"/>
              </w:rPr>
              <w:t>PIC will work with majors/programs to produce study abroad advising sheets</w:t>
            </w:r>
          </w:p>
          <w:p w:rsidR="00B74045" w:rsidRPr="001144A0" w:rsidRDefault="00B74045" w:rsidP="00B74045">
            <w:pPr>
              <w:pStyle w:val="ListParagraph"/>
              <w:numPr>
                <w:ilvl w:val="0"/>
                <w:numId w:val="1"/>
              </w:numPr>
              <w:ind w:left="0"/>
              <w:contextualSpacing/>
              <w:rPr>
                <w:rFonts w:ascii="Times New Roman" w:hAnsi="Times New Roman" w:cs="Times New Roman"/>
                <w:sz w:val="18"/>
                <w:szCs w:val="18"/>
              </w:rPr>
            </w:pPr>
          </w:p>
          <w:p w:rsidR="00B74045" w:rsidRPr="001144A0" w:rsidRDefault="00B74045" w:rsidP="00B74045">
            <w:pPr>
              <w:pStyle w:val="ListParagraph"/>
              <w:numPr>
                <w:ilvl w:val="0"/>
                <w:numId w:val="1"/>
              </w:numPr>
              <w:ind w:left="0"/>
              <w:contextualSpacing/>
              <w:rPr>
                <w:rFonts w:ascii="Times New Roman" w:hAnsi="Times New Roman" w:cs="Times New Roman"/>
                <w:sz w:val="18"/>
                <w:szCs w:val="18"/>
              </w:rPr>
            </w:pPr>
            <w:r w:rsidRPr="001144A0">
              <w:rPr>
                <w:rFonts w:ascii="Times New Roman" w:hAnsi="Times New Roman" w:cs="Times New Roman"/>
                <w:sz w:val="18"/>
                <w:szCs w:val="18"/>
              </w:rPr>
              <w:t>PIC will work with Colleges/union to develop or identify SA programs for students in majors with minimal SA participation</w:t>
            </w:r>
          </w:p>
        </w:tc>
        <w:tc>
          <w:tcPr>
            <w:tcW w:w="1560" w:type="dxa"/>
          </w:tcPr>
          <w:p w:rsidR="00B74045" w:rsidRDefault="00B74045" w:rsidP="00B74045">
            <w:pPr>
              <w:pStyle w:val="ListParagraph"/>
              <w:ind w:left="144"/>
              <w:contextualSpacing/>
              <w:rPr>
                <w:rFonts w:ascii="Times New Roman" w:hAnsi="Times New Roman" w:cs="Times New Roman"/>
                <w:sz w:val="18"/>
                <w:szCs w:val="18"/>
              </w:rPr>
            </w:pPr>
            <w:r w:rsidRPr="001144A0">
              <w:rPr>
                <w:rFonts w:ascii="Times New Roman" w:hAnsi="Times New Roman" w:cs="Times New Roman"/>
                <w:sz w:val="18"/>
                <w:szCs w:val="18"/>
              </w:rPr>
              <w:t>Deans of Colleges, Unit Heads across Colleges; PIC staff</w:t>
            </w:r>
          </w:p>
          <w:p w:rsidR="00B74045" w:rsidRPr="001144A0" w:rsidRDefault="00B74045" w:rsidP="00B74045">
            <w:pPr>
              <w:pStyle w:val="ListParagraph"/>
              <w:ind w:left="144"/>
              <w:contextualSpacing/>
              <w:rPr>
                <w:rFonts w:ascii="Times New Roman" w:hAnsi="Times New Roman" w:cs="Times New Roman"/>
                <w:sz w:val="18"/>
                <w:szCs w:val="18"/>
              </w:rPr>
            </w:pPr>
          </w:p>
          <w:p w:rsidR="00B74045" w:rsidRPr="001144A0" w:rsidRDefault="00B74045" w:rsidP="00B74045">
            <w:pPr>
              <w:pStyle w:val="ListParagraph"/>
              <w:ind w:left="144"/>
              <w:contextualSpacing/>
              <w:rPr>
                <w:rFonts w:ascii="Times New Roman" w:hAnsi="Times New Roman" w:cs="Times New Roman"/>
                <w:sz w:val="18"/>
                <w:szCs w:val="18"/>
              </w:rPr>
            </w:pPr>
            <w:r w:rsidRPr="001144A0">
              <w:rPr>
                <w:rFonts w:ascii="Times New Roman" w:hAnsi="Times New Roman" w:cs="Times New Roman"/>
                <w:sz w:val="18"/>
                <w:szCs w:val="18"/>
              </w:rPr>
              <w:t>Deans of Colleges, Unit Heads across Colleges; PIC staff</w:t>
            </w:r>
          </w:p>
        </w:tc>
        <w:tc>
          <w:tcPr>
            <w:tcW w:w="1080" w:type="dxa"/>
          </w:tcPr>
          <w:p w:rsidR="00B74045" w:rsidRPr="001144A0" w:rsidRDefault="00B74045" w:rsidP="00B74045">
            <w:pPr>
              <w:rPr>
                <w:sz w:val="18"/>
                <w:szCs w:val="18"/>
              </w:rPr>
            </w:pPr>
            <w:r w:rsidRPr="001144A0">
              <w:rPr>
                <w:sz w:val="18"/>
                <w:szCs w:val="18"/>
              </w:rPr>
              <w:t>Need more staff (GA positions request)</w:t>
            </w:r>
          </w:p>
        </w:tc>
        <w:tc>
          <w:tcPr>
            <w:tcW w:w="1290" w:type="dxa"/>
          </w:tcPr>
          <w:p w:rsidR="00B74045" w:rsidRDefault="00B74045" w:rsidP="00B74045">
            <w:pPr>
              <w:rPr>
                <w:rFonts w:ascii="Calibri" w:hAnsi="Calibri" w:cs="Calibri"/>
                <w:sz w:val="16"/>
                <w:szCs w:val="16"/>
              </w:rPr>
            </w:pPr>
          </w:p>
          <w:p w:rsidR="00B74045" w:rsidRPr="00B74045" w:rsidRDefault="00B74045" w:rsidP="00B74045">
            <w:pPr>
              <w:rPr>
                <w:sz w:val="18"/>
                <w:szCs w:val="18"/>
              </w:rPr>
            </w:pPr>
            <w:r w:rsidRPr="00B74045">
              <w:rPr>
                <w:sz w:val="18"/>
                <w:szCs w:val="18"/>
              </w:rPr>
              <w:t>2011</w:t>
            </w:r>
          </w:p>
          <w:p w:rsidR="00B74045" w:rsidRPr="008D12D1" w:rsidRDefault="00B74045" w:rsidP="00B74045">
            <w:pPr>
              <w:rPr>
                <w:rFonts w:ascii="Calibri" w:hAnsi="Calibri" w:cs="Calibri"/>
                <w:sz w:val="16"/>
                <w:szCs w:val="16"/>
              </w:rPr>
            </w:pPr>
            <w:r w:rsidRPr="00B74045">
              <w:rPr>
                <w:sz w:val="18"/>
                <w:szCs w:val="18"/>
              </w:rPr>
              <w:t>XXX study abroad participants</w:t>
            </w:r>
          </w:p>
        </w:tc>
      </w:tr>
      <w:tr w:rsidR="0069309A" w:rsidRPr="008D12D1" w:rsidTr="00BC1590">
        <w:tc>
          <w:tcPr>
            <w:tcW w:w="1110" w:type="dxa"/>
            <w:tcBorders>
              <w:bottom w:val="single" w:sz="4" w:space="0" w:color="000000"/>
            </w:tcBorders>
          </w:tcPr>
          <w:p w:rsidR="0069309A" w:rsidRDefault="0069309A" w:rsidP="00B74045">
            <w:pPr>
              <w:rPr>
                <w:sz w:val="18"/>
                <w:szCs w:val="18"/>
              </w:rPr>
            </w:pPr>
          </w:p>
        </w:tc>
        <w:tc>
          <w:tcPr>
            <w:tcW w:w="1080" w:type="dxa"/>
          </w:tcPr>
          <w:p w:rsidR="0069309A" w:rsidRPr="001144A0" w:rsidRDefault="0069309A" w:rsidP="00AC469F">
            <w:pPr>
              <w:rPr>
                <w:sz w:val="18"/>
                <w:szCs w:val="18"/>
              </w:rPr>
            </w:pPr>
            <w:r>
              <w:rPr>
                <w:sz w:val="18"/>
                <w:szCs w:val="18"/>
              </w:rPr>
              <w:t>1.4, 2.1, 2.2,2.8</w:t>
            </w:r>
          </w:p>
        </w:tc>
        <w:tc>
          <w:tcPr>
            <w:tcW w:w="2130" w:type="dxa"/>
          </w:tcPr>
          <w:p w:rsidR="0069309A" w:rsidRPr="00BC1590" w:rsidRDefault="0069309A" w:rsidP="00B74045">
            <w:pPr>
              <w:rPr>
                <w:sz w:val="18"/>
                <w:szCs w:val="18"/>
              </w:rPr>
            </w:pPr>
            <w:r>
              <w:rPr>
                <w:rFonts w:eastAsiaTheme="minorHAnsi"/>
                <w:sz w:val="18"/>
                <w:szCs w:val="18"/>
              </w:rPr>
              <w:t xml:space="preserve">2. </w:t>
            </w:r>
            <w:r w:rsidRPr="00BC1590">
              <w:rPr>
                <w:rFonts w:eastAsiaTheme="minorHAnsi"/>
                <w:sz w:val="18"/>
                <w:szCs w:val="18"/>
              </w:rPr>
              <w:t>We will continue to strategically develop new faculty-led programs that serve GVSU students, especially those which will attract greater student participation</w:t>
            </w:r>
          </w:p>
        </w:tc>
        <w:tc>
          <w:tcPr>
            <w:tcW w:w="1680" w:type="dxa"/>
          </w:tcPr>
          <w:p w:rsidR="0069309A" w:rsidRPr="00BC1590" w:rsidRDefault="0069309A" w:rsidP="00BC1590">
            <w:pPr>
              <w:autoSpaceDE w:val="0"/>
              <w:autoSpaceDN w:val="0"/>
              <w:adjustRightInd w:val="0"/>
              <w:rPr>
                <w:rFonts w:eastAsiaTheme="minorHAnsi"/>
                <w:sz w:val="18"/>
                <w:szCs w:val="18"/>
              </w:rPr>
            </w:pPr>
            <w:r>
              <w:rPr>
                <w:rFonts w:eastAsiaTheme="minorHAnsi"/>
                <w:iCs/>
                <w:sz w:val="18"/>
                <w:szCs w:val="18"/>
              </w:rPr>
              <w:t>N</w:t>
            </w:r>
            <w:r w:rsidRPr="00BC1590">
              <w:rPr>
                <w:rFonts w:eastAsiaTheme="minorHAnsi"/>
                <w:iCs/>
                <w:sz w:val="18"/>
                <w:szCs w:val="18"/>
              </w:rPr>
              <w:t>ew program development (number and type).</w:t>
            </w:r>
          </w:p>
          <w:p w:rsidR="0069309A" w:rsidRDefault="0069309A" w:rsidP="00B74045">
            <w:pPr>
              <w:ind w:left="88"/>
              <w:rPr>
                <w:sz w:val="18"/>
                <w:szCs w:val="18"/>
              </w:rPr>
            </w:pPr>
          </w:p>
        </w:tc>
        <w:tc>
          <w:tcPr>
            <w:tcW w:w="1320" w:type="dxa"/>
          </w:tcPr>
          <w:p w:rsidR="0069309A" w:rsidRDefault="0069309A" w:rsidP="00B74045">
            <w:pPr>
              <w:rPr>
                <w:sz w:val="18"/>
                <w:szCs w:val="18"/>
              </w:rPr>
            </w:pPr>
            <w:r>
              <w:rPr>
                <w:sz w:val="18"/>
                <w:szCs w:val="18"/>
              </w:rPr>
              <w:t>2010: 19 faculty-led programs (not including internships)</w:t>
            </w:r>
          </w:p>
        </w:tc>
        <w:tc>
          <w:tcPr>
            <w:tcW w:w="840" w:type="dxa"/>
          </w:tcPr>
          <w:p w:rsidR="0069309A" w:rsidRDefault="0069309A" w:rsidP="00B74045">
            <w:pPr>
              <w:rPr>
                <w:sz w:val="18"/>
                <w:szCs w:val="18"/>
              </w:rPr>
            </w:pPr>
            <w:r>
              <w:rPr>
                <w:sz w:val="18"/>
                <w:szCs w:val="18"/>
              </w:rPr>
              <w:t>2010-2015</w:t>
            </w:r>
          </w:p>
        </w:tc>
        <w:tc>
          <w:tcPr>
            <w:tcW w:w="2160" w:type="dxa"/>
          </w:tcPr>
          <w:p w:rsidR="0069309A" w:rsidRPr="00BC1590" w:rsidRDefault="0069309A" w:rsidP="00BC1590">
            <w:pPr>
              <w:autoSpaceDE w:val="0"/>
              <w:autoSpaceDN w:val="0"/>
              <w:adjustRightInd w:val="0"/>
              <w:rPr>
                <w:rFonts w:eastAsiaTheme="minorHAnsi"/>
                <w:sz w:val="18"/>
                <w:szCs w:val="18"/>
              </w:rPr>
            </w:pPr>
            <w:r w:rsidRPr="00BC1590">
              <w:rPr>
                <w:rFonts w:eastAsiaTheme="minorHAnsi"/>
                <w:sz w:val="18"/>
                <w:szCs w:val="18"/>
              </w:rPr>
              <w:t>We plan to try to create a Spring-term program that targets student-athletes as participants, as well</w:t>
            </w:r>
          </w:p>
          <w:p w:rsidR="0069309A" w:rsidRPr="001144A0" w:rsidRDefault="0069309A" w:rsidP="00BC1590">
            <w:pPr>
              <w:pStyle w:val="ListParagraph"/>
              <w:numPr>
                <w:ilvl w:val="0"/>
                <w:numId w:val="1"/>
              </w:numPr>
              <w:ind w:left="0"/>
              <w:contextualSpacing/>
              <w:rPr>
                <w:rFonts w:ascii="Times New Roman" w:hAnsi="Times New Roman" w:cs="Times New Roman"/>
                <w:sz w:val="18"/>
                <w:szCs w:val="18"/>
              </w:rPr>
            </w:pPr>
            <w:r w:rsidRPr="00BC1590">
              <w:rPr>
                <w:rFonts w:eastAsiaTheme="minorHAnsi"/>
                <w:sz w:val="18"/>
                <w:szCs w:val="18"/>
              </w:rPr>
              <w:t>as a program to support the international and service-learning goals of the Honors College</w:t>
            </w:r>
          </w:p>
        </w:tc>
        <w:tc>
          <w:tcPr>
            <w:tcW w:w="1560" w:type="dxa"/>
          </w:tcPr>
          <w:p w:rsidR="0069309A" w:rsidRPr="001144A0" w:rsidRDefault="0069309A" w:rsidP="00B74045">
            <w:pPr>
              <w:pStyle w:val="ListParagraph"/>
              <w:ind w:left="144"/>
              <w:contextualSpacing/>
              <w:rPr>
                <w:rFonts w:ascii="Times New Roman" w:hAnsi="Times New Roman" w:cs="Times New Roman"/>
                <w:sz w:val="18"/>
                <w:szCs w:val="18"/>
              </w:rPr>
            </w:pPr>
          </w:p>
        </w:tc>
        <w:tc>
          <w:tcPr>
            <w:tcW w:w="1080" w:type="dxa"/>
          </w:tcPr>
          <w:p w:rsidR="0069309A" w:rsidRPr="001144A0" w:rsidRDefault="0069309A" w:rsidP="00B74045">
            <w:pPr>
              <w:rPr>
                <w:sz w:val="18"/>
                <w:szCs w:val="18"/>
              </w:rPr>
            </w:pPr>
          </w:p>
        </w:tc>
        <w:tc>
          <w:tcPr>
            <w:tcW w:w="1290" w:type="dxa"/>
          </w:tcPr>
          <w:p w:rsidR="0069309A" w:rsidRDefault="0069309A" w:rsidP="00B74045">
            <w:pPr>
              <w:rPr>
                <w:rFonts w:ascii="Calibri" w:hAnsi="Calibri" w:cs="Calibri"/>
                <w:sz w:val="16"/>
                <w:szCs w:val="16"/>
              </w:rPr>
            </w:pPr>
          </w:p>
        </w:tc>
      </w:tr>
      <w:tr w:rsidR="0069309A" w:rsidRPr="008D12D1" w:rsidTr="00BC1590">
        <w:tc>
          <w:tcPr>
            <w:tcW w:w="1110" w:type="dxa"/>
            <w:tcBorders>
              <w:bottom w:val="single" w:sz="4" w:space="0" w:color="000000"/>
            </w:tcBorders>
          </w:tcPr>
          <w:p w:rsidR="0069309A" w:rsidRDefault="0069309A" w:rsidP="00B74045">
            <w:pPr>
              <w:rPr>
                <w:sz w:val="18"/>
                <w:szCs w:val="18"/>
              </w:rPr>
            </w:pPr>
          </w:p>
        </w:tc>
        <w:tc>
          <w:tcPr>
            <w:tcW w:w="1080" w:type="dxa"/>
          </w:tcPr>
          <w:p w:rsidR="0069309A" w:rsidRPr="001144A0" w:rsidRDefault="0069309A" w:rsidP="00AC469F">
            <w:pPr>
              <w:rPr>
                <w:sz w:val="18"/>
                <w:szCs w:val="18"/>
              </w:rPr>
            </w:pPr>
            <w:r>
              <w:rPr>
                <w:sz w:val="18"/>
                <w:szCs w:val="18"/>
              </w:rPr>
              <w:t>1.4, 2.1, 2.2, 2.8</w:t>
            </w:r>
          </w:p>
        </w:tc>
        <w:tc>
          <w:tcPr>
            <w:tcW w:w="2130" w:type="dxa"/>
          </w:tcPr>
          <w:p w:rsidR="0069309A" w:rsidRPr="00BC1590" w:rsidRDefault="0069309A" w:rsidP="00B74045">
            <w:pPr>
              <w:rPr>
                <w:rFonts w:eastAsiaTheme="minorHAnsi"/>
                <w:sz w:val="18"/>
                <w:szCs w:val="18"/>
              </w:rPr>
            </w:pPr>
            <w:r>
              <w:rPr>
                <w:rFonts w:eastAsiaTheme="minorHAnsi"/>
                <w:sz w:val="18"/>
                <w:szCs w:val="18"/>
              </w:rPr>
              <w:t>3. Broaden the scope of  International partnerships, to include more students and faculty</w:t>
            </w:r>
          </w:p>
        </w:tc>
        <w:tc>
          <w:tcPr>
            <w:tcW w:w="1680" w:type="dxa"/>
          </w:tcPr>
          <w:p w:rsidR="0069309A" w:rsidRPr="00BC1590" w:rsidRDefault="0069309A" w:rsidP="00BC1590">
            <w:pPr>
              <w:autoSpaceDE w:val="0"/>
              <w:autoSpaceDN w:val="0"/>
              <w:adjustRightInd w:val="0"/>
              <w:rPr>
                <w:rFonts w:eastAsiaTheme="minorHAnsi"/>
                <w:sz w:val="18"/>
                <w:szCs w:val="18"/>
              </w:rPr>
            </w:pPr>
            <w:r>
              <w:rPr>
                <w:rFonts w:eastAsiaTheme="minorHAnsi"/>
                <w:iCs/>
                <w:sz w:val="18"/>
                <w:szCs w:val="18"/>
              </w:rPr>
              <w:t>N</w:t>
            </w:r>
            <w:r w:rsidRPr="00BC1590">
              <w:rPr>
                <w:rFonts w:eastAsiaTheme="minorHAnsi"/>
                <w:iCs/>
                <w:sz w:val="18"/>
                <w:szCs w:val="18"/>
              </w:rPr>
              <w:t>umber</w:t>
            </w:r>
          </w:p>
          <w:p w:rsidR="0069309A" w:rsidRPr="00BC1590" w:rsidRDefault="0069309A" w:rsidP="00BC1590">
            <w:pPr>
              <w:autoSpaceDE w:val="0"/>
              <w:autoSpaceDN w:val="0"/>
              <w:adjustRightInd w:val="0"/>
              <w:rPr>
                <w:rFonts w:eastAsiaTheme="minorHAnsi"/>
                <w:iCs/>
                <w:sz w:val="18"/>
                <w:szCs w:val="18"/>
              </w:rPr>
            </w:pPr>
            <w:proofErr w:type="gramStart"/>
            <w:r w:rsidRPr="00BC1590">
              <w:rPr>
                <w:rFonts w:eastAsiaTheme="minorHAnsi"/>
                <w:iCs/>
                <w:sz w:val="18"/>
                <w:szCs w:val="18"/>
              </w:rPr>
              <w:t>and</w:t>
            </w:r>
            <w:proofErr w:type="gramEnd"/>
            <w:r w:rsidRPr="00BC1590">
              <w:rPr>
                <w:rFonts w:eastAsiaTheme="minorHAnsi"/>
                <w:iCs/>
                <w:sz w:val="18"/>
                <w:szCs w:val="18"/>
              </w:rPr>
              <w:t xml:space="preserve"> type of partnerships; numbers of students, faculty, staff participating.</w:t>
            </w:r>
          </w:p>
          <w:p w:rsidR="0069309A" w:rsidRPr="00BC1590" w:rsidRDefault="0069309A" w:rsidP="00BC1590">
            <w:pPr>
              <w:autoSpaceDE w:val="0"/>
              <w:autoSpaceDN w:val="0"/>
              <w:adjustRightInd w:val="0"/>
              <w:rPr>
                <w:rFonts w:eastAsiaTheme="minorHAnsi"/>
                <w:iCs/>
                <w:sz w:val="18"/>
                <w:szCs w:val="18"/>
              </w:rPr>
            </w:pPr>
          </w:p>
        </w:tc>
        <w:tc>
          <w:tcPr>
            <w:tcW w:w="1320" w:type="dxa"/>
          </w:tcPr>
          <w:p w:rsidR="0069309A" w:rsidRDefault="0069309A" w:rsidP="00B74045">
            <w:pPr>
              <w:rPr>
                <w:sz w:val="18"/>
                <w:szCs w:val="18"/>
              </w:rPr>
            </w:pPr>
            <w:r>
              <w:rPr>
                <w:sz w:val="18"/>
                <w:szCs w:val="18"/>
              </w:rPr>
              <w:t>2010: 17 comprehensive partnerships; 8 College-level partnerships</w:t>
            </w:r>
          </w:p>
        </w:tc>
        <w:tc>
          <w:tcPr>
            <w:tcW w:w="840" w:type="dxa"/>
          </w:tcPr>
          <w:p w:rsidR="0069309A" w:rsidRDefault="0069309A" w:rsidP="00B74045">
            <w:pPr>
              <w:rPr>
                <w:sz w:val="18"/>
                <w:szCs w:val="18"/>
              </w:rPr>
            </w:pPr>
            <w:r>
              <w:rPr>
                <w:sz w:val="18"/>
                <w:szCs w:val="18"/>
              </w:rPr>
              <w:t>2010-2015</w:t>
            </w:r>
          </w:p>
        </w:tc>
        <w:tc>
          <w:tcPr>
            <w:tcW w:w="2160" w:type="dxa"/>
          </w:tcPr>
          <w:p w:rsidR="0069309A" w:rsidRPr="00BC1590" w:rsidRDefault="0069309A" w:rsidP="00BC1590">
            <w:pPr>
              <w:autoSpaceDE w:val="0"/>
              <w:autoSpaceDN w:val="0"/>
              <w:adjustRightInd w:val="0"/>
              <w:rPr>
                <w:rFonts w:eastAsiaTheme="minorHAnsi"/>
                <w:sz w:val="18"/>
                <w:szCs w:val="18"/>
              </w:rPr>
            </w:pPr>
            <w:r w:rsidRPr="00BC1590">
              <w:rPr>
                <w:rFonts w:eastAsiaTheme="minorHAnsi"/>
                <w:sz w:val="18"/>
                <w:szCs w:val="18"/>
              </w:rPr>
              <w:t>Additional partnerships will be added with the following priorities: 1. Support for the</w:t>
            </w:r>
          </w:p>
          <w:p w:rsidR="0069309A" w:rsidRPr="00BC1590" w:rsidRDefault="0069309A" w:rsidP="00BC1590">
            <w:pPr>
              <w:autoSpaceDE w:val="0"/>
              <w:autoSpaceDN w:val="0"/>
              <w:adjustRightInd w:val="0"/>
              <w:rPr>
                <w:rFonts w:eastAsiaTheme="minorHAnsi"/>
                <w:sz w:val="18"/>
                <w:szCs w:val="18"/>
              </w:rPr>
            </w:pPr>
            <w:r w:rsidRPr="00BC1590">
              <w:rPr>
                <w:rFonts w:eastAsiaTheme="minorHAnsi"/>
                <w:sz w:val="18"/>
                <w:szCs w:val="18"/>
              </w:rPr>
              <w:t>international Area Studies programs (e.g., Latin American Studies, Middle East Studies, etc.), the language programs in MLL, and any particular regional gaps that may exist (e.g., India, South America, Russia, and possibly Southern Africa).</w:t>
            </w:r>
          </w:p>
        </w:tc>
        <w:tc>
          <w:tcPr>
            <w:tcW w:w="1560" w:type="dxa"/>
          </w:tcPr>
          <w:p w:rsidR="0069309A" w:rsidRPr="001144A0" w:rsidRDefault="0069309A" w:rsidP="00B74045">
            <w:pPr>
              <w:pStyle w:val="ListParagraph"/>
              <w:ind w:left="144"/>
              <w:contextualSpacing/>
              <w:rPr>
                <w:rFonts w:ascii="Times New Roman" w:hAnsi="Times New Roman" w:cs="Times New Roman"/>
                <w:sz w:val="18"/>
                <w:szCs w:val="18"/>
              </w:rPr>
            </w:pPr>
          </w:p>
        </w:tc>
        <w:tc>
          <w:tcPr>
            <w:tcW w:w="1080" w:type="dxa"/>
          </w:tcPr>
          <w:p w:rsidR="0069309A" w:rsidRPr="001144A0" w:rsidRDefault="0069309A" w:rsidP="00B74045">
            <w:pPr>
              <w:rPr>
                <w:sz w:val="18"/>
                <w:szCs w:val="18"/>
              </w:rPr>
            </w:pPr>
          </w:p>
        </w:tc>
        <w:tc>
          <w:tcPr>
            <w:tcW w:w="1290" w:type="dxa"/>
          </w:tcPr>
          <w:p w:rsidR="0069309A" w:rsidRDefault="0069309A" w:rsidP="00B74045">
            <w:pPr>
              <w:rPr>
                <w:rFonts w:ascii="Calibri" w:hAnsi="Calibri" w:cs="Calibri"/>
                <w:sz w:val="16"/>
                <w:szCs w:val="16"/>
              </w:rPr>
            </w:pPr>
          </w:p>
        </w:tc>
      </w:tr>
      <w:tr w:rsidR="0069309A" w:rsidRPr="008D12D1" w:rsidTr="00BC1590">
        <w:tc>
          <w:tcPr>
            <w:tcW w:w="1110" w:type="dxa"/>
            <w:tcBorders>
              <w:bottom w:val="single" w:sz="4" w:space="0" w:color="000000"/>
            </w:tcBorders>
          </w:tcPr>
          <w:p w:rsidR="0069309A" w:rsidRDefault="0069309A" w:rsidP="00B74045">
            <w:pPr>
              <w:rPr>
                <w:sz w:val="18"/>
                <w:szCs w:val="18"/>
              </w:rPr>
            </w:pPr>
          </w:p>
        </w:tc>
        <w:tc>
          <w:tcPr>
            <w:tcW w:w="1080" w:type="dxa"/>
          </w:tcPr>
          <w:p w:rsidR="0069309A" w:rsidRPr="001144A0" w:rsidRDefault="0069309A" w:rsidP="00AC469F">
            <w:pPr>
              <w:rPr>
                <w:sz w:val="18"/>
                <w:szCs w:val="18"/>
              </w:rPr>
            </w:pPr>
            <w:r>
              <w:rPr>
                <w:sz w:val="18"/>
                <w:szCs w:val="18"/>
              </w:rPr>
              <w:t>1.4, 2.1, 2.2,</w:t>
            </w:r>
          </w:p>
        </w:tc>
        <w:tc>
          <w:tcPr>
            <w:tcW w:w="2130" w:type="dxa"/>
          </w:tcPr>
          <w:p w:rsidR="0069309A" w:rsidRPr="00BC1590" w:rsidRDefault="0069309A" w:rsidP="00BC1590">
            <w:pPr>
              <w:rPr>
                <w:rFonts w:eastAsiaTheme="minorHAnsi"/>
                <w:sz w:val="18"/>
                <w:szCs w:val="18"/>
              </w:rPr>
            </w:pPr>
            <w:proofErr w:type="gramStart"/>
            <w:r>
              <w:rPr>
                <w:rFonts w:eastAsiaTheme="minorHAnsi"/>
                <w:sz w:val="18"/>
                <w:szCs w:val="18"/>
              </w:rPr>
              <w:t>4.</w:t>
            </w:r>
            <w:r w:rsidRPr="00BC1590">
              <w:rPr>
                <w:rFonts w:eastAsiaTheme="minorHAnsi"/>
                <w:sz w:val="18"/>
                <w:szCs w:val="18"/>
              </w:rPr>
              <w:t>Continue</w:t>
            </w:r>
            <w:proofErr w:type="gramEnd"/>
            <w:r w:rsidRPr="00BC1590">
              <w:rPr>
                <w:rFonts w:eastAsiaTheme="minorHAnsi"/>
                <w:sz w:val="18"/>
                <w:szCs w:val="18"/>
              </w:rPr>
              <w:t xml:space="preserve"> to leverage additional funding in order to achieve goals. This includes additional scholarship support for students to study abroad </w:t>
            </w:r>
            <w:r w:rsidRPr="00BC1590">
              <w:rPr>
                <w:rFonts w:eastAsiaTheme="minorHAnsi"/>
                <w:sz w:val="18"/>
                <w:szCs w:val="18"/>
              </w:rPr>
              <w:lastRenderedPageBreak/>
              <w:t>(GVSU base funding and/or endowed scholarships), and external grants.</w:t>
            </w:r>
          </w:p>
        </w:tc>
        <w:tc>
          <w:tcPr>
            <w:tcW w:w="1680" w:type="dxa"/>
          </w:tcPr>
          <w:p w:rsidR="0069309A" w:rsidRPr="00BC1590" w:rsidRDefault="0069309A" w:rsidP="00BC1590">
            <w:pPr>
              <w:autoSpaceDE w:val="0"/>
              <w:autoSpaceDN w:val="0"/>
              <w:adjustRightInd w:val="0"/>
              <w:rPr>
                <w:rFonts w:eastAsiaTheme="minorHAnsi"/>
                <w:iCs/>
                <w:sz w:val="18"/>
                <w:szCs w:val="18"/>
              </w:rPr>
            </w:pPr>
          </w:p>
        </w:tc>
        <w:tc>
          <w:tcPr>
            <w:tcW w:w="1320" w:type="dxa"/>
          </w:tcPr>
          <w:p w:rsidR="0069309A" w:rsidRDefault="0069309A" w:rsidP="00B74045">
            <w:pPr>
              <w:rPr>
                <w:sz w:val="18"/>
                <w:szCs w:val="18"/>
              </w:rPr>
            </w:pPr>
            <w:r>
              <w:rPr>
                <w:sz w:val="18"/>
                <w:szCs w:val="18"/>
              </w:rPr>
              <w:t>2010: $75,000 base funded SA grants</w:t>
            </w:r>
          </w:p>
        </w:tc>
        <w:tc>
          <w:tcPr>
            <w:tcW w:w="840" w:type="dxa"/>
          </w:tcPr>
          <w:p w:rsidR="0069309A" w:rsidRDefault="0069309A" w:rsidP="00B74045">
            <w:pPr>
              <w:rPr>
                <w:sz w:val="18"/>
                <w:szCs w:val="18"/>
              </w:rPr>
            </w:pPr>
          </w:p>
        </w:tc>
        <w:tc>
          <w:tcPr>
            <w:tcW w:w="2160" w:type="dxa"/>
          </w:tcPr>
          <w:p w:rsidR="0069309A" w:rsidRPr="00BC1590" w:rsidRDefault="0069309A" w:rsidP="00BC1590">
            <w:pPr>
              <w:autoSpaceDE w:val="0"/>
              <w:autoSpaceDN w:val="0"/>
              <w:adjustRightInd w:val="0"/>
              <w:rPr>
                <w:rFonts w:eastAsiaTheme="minorHAnsi"/>
                <w:sz w:val="18"/>
                <w:szCs w:val="18"/>
              </w:rPr>
            </w:pPr>
          </w:p>
        </w:tc>
        <w:tc>
          <w:tcPr>
            <w:tcW w:w="1560" w:type="dxa"/>
          </w:tcPr>
          <w:p w:rsidR="0069309A" w:rsidRPr="001144A0" w:rsidRDefault="0069309A" w:rsidP="00B74045">
            <w:pPr>
              <w:pStyle w:val="ListParagraph"/>
              <w:ind w:left="144"/>
              <w:contextualSpacing/>
              <w:rPr>
                <w:rFonts w:ascii="Times New Roman" w:hAnsi="Times New Roman" w:cs="Times New Roman"/>
                <w:sz w:val="18"/>
                <w:szCs w:val="18"/>
              </w:rPr>
            </w:pPr>
          </w:p>
        </w:tc>
        <w:tc>
          <w:tcPr>
            <w:tcW w:w="1080" w:type="dxa"/>
          </w:tcPr>
          <w:p w:rsidR="0069309A" w:rsidRPr="001144A0" w:rsidRDefault="0069309A" w:rsidP="00B74045">
            <w:pPr>
              <w:rPr>
                <w:sz w:val="18"/>
                <w:szCs w:val="18"/>
              </w:rPr>
            </w:pPr>
          </w:p>
        </w:tc>
        <w:tc>
          <w:tcPr>
            <w:tcW w:w="1290" w:type="dxa"/>
          </w:tcPr>
          <w:p w:rsidR="0069309A" w:rsidRDefault="0069309A" w:rsidP="00B74045">
            <w:pPr>
              <w:rPr>
                <w:rFonts w:ascii="Calibri" w:hAnsi="Calibri" w:cs="Calibri"/>
                <w:sz w:val="16"/>
                <w:szCs w:val="16"/>
              </w:rPr>
            </w:pPr>
          </w:p>
        </w:tc>
      </w:tr>
      <w:tr w:rsidR="0069309A" w:rsidRPr="008D12D1" w:rsidTr="00BC1590">
        <w:tc>
          <w:tcPr>
            <w:tcW w:w="1110" w:type="dxa"/>
            <w:tcBorders>
              <w:bottom w:val="single" w:sz="4" w:space="0" w:color="000000"/>
            </w:tcBorders>
          </w:tcPr>
          <w:p w:rsidR="0069309A" w:rsidRDefault="0069309A" w:rsidP="00B74045">
            <w:pPr>
              <w:rPr>
                <w:sz w:val="18"/>
                <w:szCs w:val="18"/>
              </w:rPr>
            </w:pPr>
          </w:p>
        </w:tc>
        <w:tc>
          <w:tcPr>
            <w:tcW w:w="1080" w:type="dxa"/>
          </w:tcPr>
          <w:p w:rsidR="0069309A" w:rsidRPr="001144A0" w:rsidRDefault="0069309A" w:rsidP="00AC469F">
            <w:pPr>
              <w:rPr>
                <w:sz w:val="18"/>
                <w:szCs w:val="18"/>
              </w:rPr>
            </w:pPr>
            <w:r>
              <w:rPr>
                <w:sz w:val="18"/>
                <w:szCs w:val="18"/>
              </w:rPr>
              <w:t>1.4, 2.1, 2.2,</w:t>
            </w:r>
          </w:p>
        </w:tc>
        <w:tc>
          <w:tcPr>
            <w:tcW w:w="2130" w:type="dxa"/>
          </w:tcPr>
          <w:p w:rsidR="0069309A" w:rsidRPr="00BC1590" w:rsidRDefault="0069309A" w:rsidP="00BC1590">
            <w:pPr>
              <w:rPr>
                <w:rFonts w:eastAsiaTheme="minorHAnsi"/>
                <w:sz w:val="18"/>
                <w:szCs w:val="18"/>
              </w:rPr>
            </w:pPr>
            <w:proofErr w:type="gramStart"/>
            <w:r>
              <w:rPr>
                <w:rFonts w:eastAsiaTheme="minorHAnsi"/>
                <w:sz w:val="18"/>
                <w:szCs w:val="18"/>
              </w:rPr>
              <w:t>5.</w:t>
            </w:r>
            <w:r w:rsidRPr="00BC1590">
              <w:rPr>
                <w:rFonts w:eastAsiaTheme="minorHAnsi"/>
                <w:sz w:val="18"/>
                <w:szCs w:val="18"/>
              </w:rPr>
              <w:t>Strategize</w:t>
            </w:r>
            <w:proofErr w:type="gramEnd"/>
            <w:r w:rsidRPr="00BC1590">
              <w:rPr>
                <w:rFonts w:eastAsiaTheme="minorHAnsi"/>
                <w:sz w:val="18"/>
                <w:szCs w:val="18"/>
              </w:rPr>
              <w:t xml:space="preserve"> and coordinate internationalization efforts at the level of academic units. Work with individual Colleges and units to develop internationalization plan and implement them</w:t>
            </w:r>
          </w:p>
        </w:tc>
        <w:tc>
          <w:tcPr>
            <w:tcW w:w="1680" w:type="dxa"/>
          </w:tcPr>
          <w:p w:rsidR="0069309A" w:rsidRPr="00BC1590" w:rsidRDefault="0069309A" w:rsidP="00BC1590">
            <w:pPr>
              <w:autoSpaceDE w:val="0"/>
              <w:autoSpaceDN w:val="0"/>
              <w:adjustRightInd w:val="0"/>
              <w:rPr>
                <w:rFonts w:eastAsiaTheme="minorHAnsi"/>
                <w:iCs/>
                <w:sz w:val="18"/>
                <w:szCs w:val="18"/>
              </w:rPr>
            </w:pPr>
            <w:r w:rsidRPr="00BC1590">
              <w:rPr>
                <w:rFonts w:eastAsiaTheme="minorHAnsi"/>
                <w:iCs/>
                <w:sz w:val="18"/>
                <w:szCs w:val="18"/>
              </w:rPr>
              <w:t>Number of study abroad sheets available for majors.</w:t>
            </w:r>
          </w:p>
        </w:tc>
        <w:tc>
          <w:tcPr>
            <w:tcW w:w="1320" w:type="dxa"/>
          </w:tcPr>
          <w:p w:rsidR="0069309A" w:rsidRDefault="0069309A" w:rsidP="00A03685">
            <w:pPr>
              <w:rPr>
                <w:sz w:val="18"/>
                <w:szCs w:val="18"/>
              </w:rPr>
            </w:pPr>
            <w:r>
              <w:rPr>
                <w:sz w:val="18"/>
                <w:szCs w:val="18"/>
              </w:rPr>
              <w:t>2011 base line:16 programs or majors with study abroad sheets</w:t>
            </w:r>
          </w:p>
        </w:tc>
        <w:tc>
          <w:tcPr>
            <w:tcW w:w="840" w:type="dxa"/>
          </w:tcPr>
          <w:p w:rsidR="0069309A" w:rsidRDefault="0069309A" w:rsidP="00B74045">
            <w:pPr>
              <w:rPr>
                <w:sz w:val="18"/>
                <w:szCs w:val="18"/>
              </w:rPr>
            </w:pPr>
            <w:r>
              <w:rPr>
                <w:sz w:val="18"/>
                <w:szCs w:val="18"/>
              </w:rPr>
              <w:t>2010-2015</w:t>
            </w:r>
          </w:p>
        </w:tc>
        <w:tc>
          <w:tcPr>
            <w:tcW w:w="2160" w:type="dxa"/>
          </w:tcPr>
          <w:p w:rsidR="0069309A" w:rsidRPr="00BC1590" w:rsidRDefault="0069309A" w:rsidP="00BC1590">
            <w:pPr>
              <w:autoSpaceDE w:val="0"/>
              <w:autoSpaceDN w:val="0"/>
              <w:adjustRightInd w:val="0"/>
              <w:rPr>
                <w:rFonts w:eastAsiaTheme="minorHAnsi"/>
                <w:sz w:val="18"/>
                <w:szCs w:val="18"/>
              </w:rPr>
            </w:pPr>
          </w:p>
        </w:tc>
        <w:tc>
          <w:tcPr>
            <w:tcW w:w="1560" w:type="dxa"/>
          </w:tcPr>
          <w:p w:rsidR="0069309A" w:rsidRPr="001144A0" w:rsidRDefault="0069309A" w:rsidP="00B74045">
            <w:pPr>
              <w:pStyle w:val="ListParagraph"/>
              <w:ind w:left="144"/>
              <w:contextualSpacing/>
              <w:rPr>
                <w:rFonts w:ascii="Times New Roman" w:hAnsi="Times New Roman" w:cs="Times New Roman"/>
                <w:sz w:val="18"/>
                <w:szCs w:val="18"/>
              </w:rPr>
            </w:pPr>
          </w:p>
        </w:tc>
        <w:tc>
          <w:tcPr>
            <w:tcW w:w="1080" w:type="dxa"/>
          </w:tcPr>
          <w:p w:rsidR="0069309A" w:rsidRPr="001144A0" w:rsidRDefault="0069309A" w:rsidP="00B74045">
            <w:pPr>
              <w:rPr>
                <w:sz w:val="18"/>
                <w:szCs w:val="18"/>
              </w:rPr>
            </w:pPr>
          </w:p>
        </w:tc>
        <w:tc>
          <w:tcPr>
            <w:tcW w:w="1290" w:type="dxa"/>
          </w:tcPr>
          <w:p w:rsidR="0069309A" w:rsidRDefault="0069309A" w:rsidP="00B74045">
            <w:pPr>
              <w:rPr>
                <w:rFonts w:ascii="Calibri" w:hAnsi="Calibri" w:cs="Calibri"/>
                <w:sz w:val="16"/>
                <w:szCs w:val="16"/>
              </w:rPr>
            </w:pPr>
          </w:p>
        </w:tc>
      </w:tr>
      <w:tr w:rsidR="0069309A" w:rsidRPr="008D12D1" w:rsidTr="00BC1590">
        <w:tc>
          <w:tcPr>
            <w:tcW w:w="1110" w:type="dxa"/>
            <w:tcBorders>
              <w:bottom w:val="single" w:sz="4" w:space="0" w:color="000000"/>
            </w:tcBorders>
          </w:tcPr>
          <w:p w:rsidR="0069309A" w:rsidRDefault="0069309A" w:rsidP="00B74045">
            <w:pPr>
              <w:rPr>
                <w:sz w:val="18"/>
                <w:szCs w:val="18"/>
              </w:rPr>
            </w:pPr>
          </w:p>
        </w:tc>
        <w:tc>
          <w:tcPr>
            <w:tcW w:w="1080" w:type="dxa"/>
          </w:tcPr>
          <w:p w:rsidR="0069309A" w:rsidRPr="001144A0" w:rsidRDefault="0069309A" w:rsidP="00AC469F">
            <w:pPr>
              <w:rPr>
                <w:sz w:val="18"/>
                <w:szCs w:val="18"/>
              </w:rPr>
            </w:pPr>
            <w:r>
              <w:rPr>
                <w:sz w:val="18"/>
                <w:szCs w:val="18"/>
              </w:rPr>
              <w:t>1.4, 2.1, 2.2,</w:t>
            </w:r>
          </w:p>
        </w:tc>
        <w:tc>
          <w:tcPr>
            <w:tcW w:w="2130" w:type="dxa"/>
          </w:tcPr>
          <w:p w:rsidR="0069309A" w:rsidRPr="00BC1590" w:rsidRDefault="0069309A" w:rsidP="00BC1590">
            <w:pPr>
              <w:rPr>
                <w:rFonts w:eastAsiaTheme="minorHAnsi"/>
                <w:sz w:val="18"/>
                <w:szCs w:val="18"/>
              </w:rPr>
            </w:pPr>
            <w:r>
              <w:rPr>
                <w:rFonts w:eastAsiaTheme="minorHAnsi"/>
                <w:sz w:val="18"/>
                <w:szCs w:val="18"/>
              </w:rPr>
              <w:t>6.</w:t>
            </w:r>
            <w:r w:rsidRPr="002D0C59">
              <w:rPr>
                <w:rFonts w:eastAsiaTheme="minorHAnsi"/>
              </w:rPr>
              <w:t xml:space="preserve"> </w:t>
            </w:r>
            <w:r w:rsidRPr="004D2239">
              <w:rPr>
                <w:rFonts w:eastAsiaTheme="minorHAnsi"/>
                <w:sz w:val="18"/>
                <w:szCs w:val="18"/>
              </w:rPr>
              <w:t>Develop at least one more cost-effective internship experience for students</w:t>
            </w:r>
          </w:p>
        </w:tc>
        <w:tc>
          <w:tcPr>
            <w:tcW w:w="1680" w:type="dxa"/>
          </w:tcPr>
          <w:p w:rsidR="0069309A" w:rsidRPr="00BC1590" w:rsidRDefault="00DA6BAB" w:rsidP="00BC1590">
            <w:pPr>
              <w:autoSpaceDE w:val="0"/>
              <w:autoSpaceDN w:val="0"/>
              <w:adjustRightInd w:val="0"/>
              <w:rPr>
                <w:rFonts w:eastAsiaTheme="minorHAnsi"/>
                <w:iCs/>
                <w:sz w:val="18"/>
                <w:szCs w:val="18"/>
              </w:rPr>
            </w:pPr>
            <w:r>
              <w:rPr>
                <w:rFonts w:eastAsiaTheme="minorHAnsi"/>
                <w:iCs/>
                <w:sz w:val="18"/>
                <w:szCs w:val="18"/>
              </w:rPr>
              <w:t>Number of internship experiences</w:t>
            </w:r>
            <w:bookmarkStart w:id="0" w:name="_GoBack"/>
            <w:bookmarkEnd w:id="0"/>
          </w:p>
        </w:tc>
        <w:tc>
          <w:tcPr>
            <w:tcW w:w="1320" w:type="dxa"/>
          </w:tcPr>
          <w:p w:rsidR="0069309A" w:rsidRDefault="0069309A" w:rsidP="00B74045">
            <w:pPr>
              <w:rPr>
                <w:sz w:val="18"/>
                <w:szCs w:val="18"/>
              </w:rPr>
            </w:pPr>
            <w:r>
              <w:rPr>
                <w:sz w:val="18"/>
                <w:szCs w:val="18"/>
              </w:rPr>
              <w:t>2011: 3 internships: Paris, London, Madrid</w:t>
            </w:r>
          </w:p>
        </w:tc>
        <w:tc>
          <w:tcPr>
            <w:tcW w:w="840" w:type="dxa"/>
          </w:tcPr>
          <w:p w:rsidR="0069309A" w:rsidRDefault="0069309A" w:rsidP="00B74045">
            <w:pPr>
              <w:rPr>
                <w:sz w:val="18"/>
                <w:szCs w:val="18"/>
              </w:rPr>
            </w:pPr>
            <w:r>
              <w:rPr>
                <w:sz w:val="18"/>
                <w:szCs w:val="18"/>
              </w:rPr>
              <w:t>2010-2015</w:t>
            </w:r>
          </w:p>
        </w:tc>
        <w:tc>
          <w:tcPr>
            <w:tcW w:w="2160" w:type="dxa"/>
          </w:tcPr>
          <w:p w:rsidR="0069309A" w:rsidRPr="00BC1590" w:rsidRDefault="0069309A" w:rsidP="00BC1590">
            <w:pPr>
              <w:autoSpaceDE w:val="0"/>
              <w:autoSpaceDN w:val="0"/>
              <w:adjustRightInd w:val="0"/>
              <w:rPr>
                <w:rFonts w:eastAsiaTheme="minorHAnsi"/>
                <w:sz w:val="18"/>
                <w:szCs w:val="18"/>
              </w:rPr>
            </w:pPr>
            <w:r>
              <w:rPr>
                <w:rFonts w:eastAsiaTheme="minorHAnsi"/>
                <w:sz w:val="18"/>
                <w:szCs w:val="18"/>
              </w:rPr>
              <w:t>Focus on Mexico and/or Latin America. Partner with faculty and international entities.</w:t>
            </w:r>
          </w:p>
        </w:tc>
        <w:tc>
          <w:tcPr>
            <w:tcW w:w="1560" w:type="dxa"/>
          </w:tcPr>
          <w:p w:rsidR="0069309A" w:rsidRPr="001144A0" w:rsidRDefault="0069309A" w:rsidP="00B74045">
            <w:pPr>
              <w:pStyle w:val="ListParagraph"/>
              <w:ind w:left="144"/>
              <w:contextualSpacing/>
              <w:rPr>
                <w:rFonts w:ascii="Times New Roman" w:hAnsi="Times New Roman" w:cs="Times New Roman"/>
                <w:sz w:val="18"/>
                <w:szCs w:val="18"/>
              </w:rPr>
            </w:pPr>
          </w:p>
        </w:tc>
        <w:tc>
          <w:tcPr>
            <w:tcW w:w="1080" w:type="dxa"/>
          </w:tcPr>
          <w:p w:rsidR="0069309A" w:rsidRPr="001144A0" w:rsidRDefault="0069309A" w:rsidP="00B74045">
            <w:pPr>
              <w:rPr>
                <w:sz w:val="18"/>
                <w:szCs w:val="18"/>
              </w:rPr>
            </w:pPr>
          </w:p>
        </w:tc>
        <w:tc>
          <w:tcPr>
            <w:tcW w:w="1290" w:type="dxa"/>
          </w:tcPr>
          <w:p w:rsidR="0069309A" w:rsidRDefault="0069309A" w:rsidP="00B74045">
            <w:pPr>
              <w:rPr>
                <w:rFonts w:ascii="Calibri" w:hAnsi="Calibri" w:cs="Calibri"/>
                <w:sz w:val="16"/>
                <w:szCs w:val="16"/>
              </w:rPr>
            </w:pPr>
          </w:p>
        </w:tc>
      </w:tr>
      <w:tr w:rsidR="0069309A" w:rsidRPr="008D12D1" w:rsidTr="00BC1590">
        <w:tc>
          <w:tcPr>
            <w:tcW w:w="1110" w:type="dxa"/>
            <w:tcBorders>
              <w:bottom w:val="single" w:sz="4" w:space="0" w:color="000000"/>
            </w:tcBorders>
          </w:tcPr>
          <w:p w:rsidR="0069309A" w:rsidRDefault="0069309A" w:rsidP="00B74045">
            <w:pPr>
              <w:rPr>
                <w:sz w:val="18"/>
                <w:szCs w:val="18"/>
              </w:rPr>
            </w:pPr>
            <w:r>
              <w:rPr>
                <w:sz w:val="18"/>
                <w:szCs w:val="18"/>
              </w:rPr>
              <w:t>2.5.1</w:t>
            </w:r>
          </w:p>
          <w:p w:rsidR="0069309A" w:rsidRDefault="0069309A" w:rsidP="00B74045">
            <w:pPr>
              <w:rPr>
                <w:sz w:val="18"/>
                <w:szCs w:val="18"/>
              </w:rPr>
            </w:pPr>
          </w:p>
          <w:p w:rsidR="0069309A" w:rsidRDefault="0069309A" w:rsidP="00B74045">
            <w:pPr>
              <w:rPr>
                <w:sz w:val="18"/>
                <w:szCs w:val="18"/>
              </w:rPr>
            </w:pPr>
          </w:p>
        </w:tc>
        <w:tc>
          <w:tcPr>
            <w:tcW w:w="1080" w:type="dxa"/>
          </w:tcPr>
          <w:p w:rsidR="0069309A" w:rsidRDefault="0069309A" w:rsidP="00B74045">
            <w:pPr>
              <w:rPr>
                <w:sz w:val="18"/>
                <w:szCs w:val="18"/>
              </w:rPr>
            </w:pPr>
            <w:r>
              <w:rPr>
                <w:sz w:val="18"/>
                <w:szCs w:val="18"/>
              </w:rPr>
              <w:t>2.7</w:t>
            </w:r>
          </w:p>
        </w:tc>
        <w:tc>
          <w:tcPr>
            <w:tcW w:w="2130" w:type="dxa"/>
          </w:tcPr>
          <w:p w:rsidR="0069309A" w:rsidRPr="00B74045" w:rsidRDefault="0069309A" w:rsidP="00B74045">
            <w:pPr>
              <w:rPr>
                <w:sz w:val="18"/>
                <w:szCs w:val="18"/>
              </w:rPr>
            </w:pPr>
            <w:r>
              <w:rPr>
                <w:sz w:val="18"/>
                <w:szCs w:val="18"/>
              </w:rPr>
              <w:t xml:space="preserve">7. </w:t>
            </w:r>
            <w:r w:rsidRPr="00B74045">
              <w:rPr>
                <w:sz w:val="18"/>
                <w:szCs w:val="18"/>
              </w:rPr>
              <w:t xml:space="preserve"> By Fall of 2012, the proportion of students who have graduated from  a high school, or its equivalent, form a country other than the United States is at least 3% of overall enrollment annually</w:t>
            </w:r>
          </w:p>
        </w:tc>
        <w:tc>
          <w:tcPr>
            <w:tcW w:w="1680" w:type="dxa"/>
          </w:tcPr>
          <w:p w:rsidR="0069309A" w:rsidRPr="001144A0" w:rsidRDefault="0069309A" w:rsidP="00B74045">
            <w:pPr>
              <w:ind w:left="88"/>
              <w:rPr>
                <w:sz w:val="18"/>
                <w:szCs w:val="18"/>
              </w:rPr>
            </w:pPr>
            <w:r w:rsidRPr="00BC1590">
              <w:rPr>
                <w:rFonts w:eastAsiaTheme="minorHAnsi"/>
                <w:iCs/>
                <w:sz w:val="18"/>
                <w:szCs w:val="18"/>
              </w:rPr>
              <w:t>Number</w:t>
            </w:r>
            <w:r>
              <w:rPr>
                <w:sz w:val="18"/>
                <w:szCs w:val="18"/>
              </w:rPr>
              <w:t xml:space="preserve"> of students enrolled</w:t>
            </w:r>
          </w:p>
        </w:tc>
        <w:tc>
          <w:tcPr>
            <w:tcW w:w="1320" w:type="dxa"/>
          </w:tcPr>
          <w:p w:rsidR="0069309A" w:rsidRDefault="0069309A" w:rsidP="00B74045">
            <w:pPr>
              <w:rPr>
                <w:sz w:val="18"/>
                <w:szCs w:val="18"/>
              </w:rPr>
            </w:pPr>
            <w:r>
              <w:rPr>
                <w:sz w:val="18"/>
                <w:szCs w:val="18"/>
              </w:rPr>
              <w:t xml:space="preserve">2008 Dashboard </w:t>
            </w:r>
          </w:p>
          <w:p w:rsidR="0069309A" w:rsidRPr="001144A0" w:rsidRDefault="0069309A" w:rsidP="00B74045">
            <w:pPr>
              <w:rPr>
                <w:sz w:val="18"/>
                <w:szCs w:val="18"/>
              </w:rPr>
            </w:pPr>
            <w:r>
              <w:rPr>
                <w:sz w:val="18"/>
                <w:szCs w:val="18"/>
              </w:rPr>
              <w:t>1.9%</w:t>
            </w:r>
          </w:p>
        </w:tc>
        <w:tc>
          <w:tcPr>
            <w:tcW w:w="840" w:type="dxa"/>
          </w:tcPr>
          <w:p w:rsidR="0069309A" w:rsidRPr="001144A0" w:rsidRDefault="0069309A" w:rsidP="00B74045">
            <w:pPr>
              <w:rPr>
                <w:sz w:val="18"/>
                <w:szCs w:val="18"/>
              </w:rPr>
            </w:pPr>
            <w:r>
              <w:rPr>
                <w:sz w:val="18"/>
                <w:szCs w:val="18"/>
              </w:rPr>
              <w:t>2010-2012</w:t>
            </w:r>
          </w:p>
        </w:tc>
        <w:tc>
          <w:tcPr>
            <w:tcW w:w="2160" w:type="dxa"/>
          </w:tcPr>
          <w:p w:rsidR="0069309A" w:rsidRDefault="0069309A" w:rsidP="00B74045">
            <w:pPr>
              <w:pStyle w:val="ListParagraph"/>
              <w:numPr>
                <w:ilvl w:val="0"/>
                <w:numId w:val="1"/>
              </w:numPr>
              <w:ind w:left="0"/>
              <w:contextualSpacing/>
              <w:rPr>
                <w:rFonts w:ascii="Times New Roman" w:hAnsi="Times New Roman" w:cs="Times New Roman"/>
                <w:sz w:val="18"/>
                <w:szCs w:val="18"/>
              </w:rPr>
            </w:pPr>
            <w:r>
              <w:rPr>
                <w:rFonts w:ascii="Times New Roman" w:hAnsi="Times New Roman" w:cs="Times New Roman"/>
                <w:sz w:val="18"/>
                <w:szCs w:val="18"/>
              </w:rPr>
              <w:t>Work with the Orientation Committee to improve advising for International Studies</w:t>
            </w:r>
          </w:p>
          <w:p w:rsidR="0069309A" w:rsidRDefault="0069309A" w:rsidP="00B74045">
            <w:pPr>
              <w:pStyle w:val="ListParagraph"/>
              <w:contextualSpacing/>
              <w:rPr>
                <w:rFonts w:ascii="Times New Roman" w:hAnsi="Times New Roman" w:cs="Times New Roman"/>
                <w:sz w:val="18"/>
                <w:szCs w:val="18"/>
              </w:rPr>
            </w:pPr>
          </w:p>
          <w:p w:rsidR="0069309A" w:rsidRDefault="0069309A" w:rsidP="00B74045">
            <w:pPr>
              <w:pStyle w:val="ListParagraph"/>
              <w:ind w:left="0"/>
              <w:contextualSpacing/>
              <w:rPr>
                <w:rFonts w:ascii="Times New Roman" w:hAnsi="Times New Roman" w:cs="Times New Roman"/>
                <w:sz w:val="18"/>
                <w:szCs w:val="18"/>
              </w:rPr>
            </w:pPr>
            <w:r>
              <w:rPr>
                <w:rFonts w:ascii="Times New Roman" w:hAnsi="Times New Roman" w:cs="Times New Roman"/>
                <w:sz w:val="18"/>
                <w:szCs w:val="18"/>
              </w:rPr>
              <w:t>Support the work of the International Recruitment Committee</w:t>
            </w:r>
          </w:p>
          <w:p w:rsidR="0069309A" w:rsidRDefault="0069309A" w:rsidP="00B74045">
            <w:pPr>
              <w:pStyle w:val="ListParagraph"/>
              <w:ind w:left="0"/>
              <w:contextualSpacing/>
              <w:rPr>
                <w:rFonts w:ascii="Times New Roman" w:hAnsi="Times New Roman" w:cs="Times New Roman"/>
                <w:sz w:val="18"/>
                <w:szCs w:val="18"/>
              </w:rPr>
            </w:pPr>
          </w:p>
          <w:p w:rsidR="0069309A" w:rsidRPr="001144A0" w:rsidRDefault="0069309A" w:rsidP="00B74045">
            <w:pPr>
              <w:pStyle w:val="ListParagraph"/>
              <w:ind w:left="0"/>
              <w:contextualSpacing/>
              <w:rPr>
                <w:rFonts w:ascii="Times New Roman" w:hAnsi="Times New Roman" w:cs="Times New Roman"/>
                <w:sz w:val="18"/>
                <w:szCs w:val="18"/>
              </w:rPr>
            </w:pPr>
            <w:r>
              <w:rPr>
                <w:rFonts w:ascii="Times New Roman" w:hAnsi="Times New Roman" w:cs="Times New Roman"/>
                <w:sz w:val="18"/>
                <w:szCs w:val="18"/>
              </w:rPr>
              <w:t>Increase and improve support for international students on campus</w:t>
            </w:r>
          </w:p>
        </w:tc>
        <w:tc>
          <w:tcPr>
            <w:tcW w:w="1560" w:type="dxa"/>
          </w:tcPr>
          <w:p w:rsidR="0069309A" w:rsidRDefault="0069309A" w:rsidP="00B74045">
            <w:pPr>
              <w:pStyle w:val="ListParagraph"/>
              <w:ind w:left="144"/>
              <w:contextualSpacing/>
              <w:rPr>
                <w:rFonts w:ascii="Times New Roman" w:hAnsi="Times New Roman" w:cs="Times New Roman"/>
                <w:sz w:val="18"/>
                <w:szCs w:val="18"/>
              </w:rPr>
            </w:pPr>
            <w:r>
              <w:rPr>
                <w:rFonts w:ascii="Times New Roman" w:hAnsi="Times New Roman" w:cs="Times New Roman"/>
                <w:sz w:val="18"/>
                <w:szCs w:val="18"/>
              </w:rPr>
              <w:t>PIC</w:t>
            </w:r>
          </w:p>
          <w:p w:rsidR="0069309A" w:rsidRDefault="0069309A" w:rsidP="00B74045">
            <w:pPr>
              <w:pStyle w:val="ListParagraph"/>
              <w:ind w:left="144"/>
              <w:contextualSpacing/>
              <w:rPr>
                <w:rFonts w:ascii="Times New Roman" w:hAnsi="Times New Roman" w:cs="Times New Roman"/>
                <w:sz w:val="18"/>
                <w:szCs w:val="18"/>
              </w:rPr>
            </w:pPr>
            <w:r>
              <w:rPr>
                <w:rFonts w:ascii="Times New Roman" w:hAnsi="Times New Roman" w:cs="Times New Roman"/>
                <w:sz w:val="18"/>
                <w:szCs w:val="18"/>
              </w:rPr>
              <w:t>International Recruitment Committee</w:t>
            </w:r>
          </w:p>
          <w:p w:rsidR="0069309A" w:rsidRDefault="0069309A" w:rsidP="00B74045">
            <w:pPr>
              <w:pStyle w:val="ListParagraph"/>
              <w:ind w:left="144"/>
              <w:contextualSpacing/>
              <w:rPr>
                <w:rFonts w:ascii="Times New Roman" w:hAnsi="Times New Roman" w:cs="Times New Roman"/>
                <w:sz w:val="18"/>
                <w:szCs w:val="18"/>
              </w:rPr>
            </w:pPr>
          </w:p>
          <w:p w:rsidR="0069309A" w:rsidRPr="001144A0" w:rsidRDefault="0069309A" w:rsidP="00B74045">
            <w:pPr>
              <w:pStyle w:val="ListParagraph"/>
              <w:ind w:left="144"/>
              <w:contextualSpacing/>
              <w:rPr>
                <w:rFonts w:ascii="Times New Roman" w:hAnsi="Times New Roman" w:cs="Times New Roman"/>
                <w:sz w:val="18"/>
                <w:szCs w:val="18"/>
              </w:rPr>
            </w:pPr>
            <w:r>
              <w:rPr>
                <w:rFonts w:ascii="Times New Roman" w:hAnsi="Times New Roman" w:cs="Times New Roman"/>
                <w:sz w:val="18"/>
                <w:szCs w:val="18"/>
              </w:rPr>
              <w:t>College Deans  and departments</w:t>
            </w:r>
          </w:p>
        </w:tc>
        <w:tc>
          <w:tcPr>
            <w:tcW w:w="1080" w:type="dxa"/>
          </w:tcPr>
          <w:p w:rsidR="0069309A" w:rsidRPr="001144A0" w:rsidRDefault="0069309A" w:rsidP="00B74045">
            <w:pPr>
              <w:rPr>
                <w:sz w:val="18"/>
                <w:szCs w:val="18"/>
              </w:rPr>
            </w:pPr>
          </w:p>
        </w:tc>
        <w:tc>
          <w:tcPr>
            <w:tcW w:w="1290" w:type="dxa"/>
          </w:tcPr>
          <w:p w:rsidR="0069309A" w:rsidRPr="008D12D1" w:rsidRDefault="0069309A" w:rsidP="00B74045">
            <w:pPr>
              <w:rPr>
                <w:rFonts w:ascii="Calibri" w:hAnsi="Calibri" w:cs="Calibri"/>
                <w:sz w:val="16"/>
                <w:szCs w:val="16"/>
              </w:rPr>
            </w:pPr>
          </w:p>
        </w:tc>
      </w:tr>
    </w:tbl>
    <w:p w:rsidR="002D0C59" w:rsidRDefault="002D0C59"/>
    <w:sectPr w:rsidR="002D0C59" w:rsidSect="002D0C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Palatin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81F40"/>
    <w:multiLevelType w:val="hybridMultilevel"/>
    <w:tmpl w:val="C7D032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23E0E"/>
    <w:multiLevelType w:val="hybridMultilevel"/>
    <w:tmpl w:val="9C1E9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D0C59"/>
    <w:rsid w:val="002D0C59"/>
    <w:rsid w:val="003D2AF2"/>
    <w:rsid w:val="004D2239"/>
    <w:rsid w:val="00532CF6"/>
    <w:rsid w:val="00666155"/>
    <w:rsid w:val="0069309A"/>
    <w:rsid w:val="00A03685"/>
    <w:rsid w:val="00B74045"/>
    <w:rsid w:val="00BC1590"/>
    <w:rsid w:val="00DA6BAB"/>
    <w:rsid w:val="00DD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5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59"/>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5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59"/>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glassst</dc:creator>
  <cp:lastModifiedBy>glassst</cp:lastModifiedBy>
  <cp:revision>2</cp:revision>
  <cp:lastPrinted>2011-08-31T14:48:00Z</cp:lastPrinted>
  <dcterms:created xsi:type="dcterms:W3CDTF">2011-09-12T13:59:00Z</dcterms:created>
  <dcterms:modified xsi:type="dcterms:W3CDTF">2011-09-12T13:59:00Z</dcterms:modified>
</cp:coreProperties>
</file>