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BA" w:rsidRPr="003C63B1" w:rsidRDefault="008B2E72" w:rsidP="00360A39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Meijer Honors College</w:t>
      </w:r>
    </w:p>
    <w:p w:rsidR="00E707BA" w:rsidRPr="003C63B1" w:rsidRDefault="00E707BA" w:rsidP="00360A39">
      <w:pPr>
        <w:jc w:val="center"/>
        <w:rPr>
          <w:b/>
          <w:bCs/>
          <w:sz w:val="36"/>
          <w:szCs w:val="36"/>
        </w:rPr>
      </w:pPr>
      <w:r w:rsidRPr="003C63B1">
        <w:rPr>
          <w:b/>
          <w:bCs/>
          <w:sz w:val="36"/>
          <w:szCs w:val="36"/>
        </w:rPr>
        <w:t>Strategic Plan</w:t>
      </w:r>
    </w:p>
    <w:p w:rsidR="00E707BA" w:rsidRPr="003C63B1" w:rsidRDefault="00E707BA" w:rsidP="00360A39">
      <w:pPr>
        <w:jc w:val="center"/>
        <w:rPr>
          <w:b/>
          <w:bCs/>
          <w:sz w:val="36"/>
          <w:szCs w:val="36"/>
        </w:rPr>
      </w:pPr>
      <w:r w:rsidRPr="003C63B1">
        <w:rPr>
          <w:b/>
          <w:bCs/>
          <w:sz w:val="36"/>
          <w:szCs w:val="36"/>
        </w:rPr>
        <w:t>2010-2015</w:t>
      </w:r>
    </w:p>
    <w:p w:rsidR="00E707BA" w:rsidRPr="003C63B1" w:rsidRDefault="00E707BA" w:rsidP="006D32B4">
      <w:pPr>
        <w:pStyle w:val="Heading1"/>
        <w:tabs>
          <w:tab w:val="left" w:pos="10080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E707BA" w:rsidRPr="009E07D0" w:rsidRDefault="00E707BA" w:rsidP="009E07D0">
      <w:pPr>
        <w:pStyle w:val="NormalWeb"/>
      </w:pPr>
      <w:r w:rsidRPr="009E07D0">
        <w:rPr>
          <w:b/>
        </w:rPr>
        <w:t>Mission:</w:t>
      </w:r>
      <w:r w:rsidRPr="00852A54">
        <w:tab/>
      </w:r>
      <w:r w:rsidR="009E07D0" w:rsidRPr="009E07D0">
        <w:t>The Mission of the Meijer Honors College is to provide a challenging interdisciplinary liberal education in a personal, nurturing living/learning environment</w:t>
      </w:r>
      <w:r w:rsidR="009E07D0" w:rsidRPr="009E07D0">
        <w:rPr>
          <w:b/>
        </w:rPr>
        <w:t>.</w:t>
      </w:r>
      <w:r w:rsidR="009E07D0" w:rsidRPr="009E07D0">
        <w:rPr>
          <w:color w:val="FF0000"/>
        </w:rPr>
        <w:t xml:space="preserve">  </w:t>
      </w:r>
      <w:r w:rsidR="009E07D0" w:rsidRPr="009E07D0">
        <w:t>Honors education encourages students to develop high-level skills, knowledge and expertise, and prepares them to be intellectually curious, life-long learners and extraordinarily capable leaders in their communities and the world. </w:t>
      </w:r>
    </w:p>
    <w:p w:rsidR="009E07D0" w:rsidRPr="009E07D0" w:rsidRDefault="00E707BA" w:rsidP="009E07D0">
      <w:pPr>
        <w:pStyle w:val="NormalWeb"/>
      </w:pPr>
      <w:r w:rsidRPr="003C63B1">
        <w:rPr>
          <w:b/>
          <w:bCs/>
        </w:rPr>
        <w:t>Vision</w:t>
      </w:r>
      <w:r w:rsidRPr="003C63B1">
        <w:t xml:space="preserve">: </w:t>
      </w:r>
      <w:r w:rsidR="009E07D0">
        <w:tab/>
      </w:r>
      <w:r w:rsidR="009E07D0" w:rsidRPr="009E07D0">
        <w:t>The Meijer Honors College will be unique among major state university programs (in Michigan and nationally) in that it provides more personal attention for students, a vibrant scholarly community, team-taught interdisciplinary courses with small sections, more substantial and individual preparation and opportunities for student research and presentation, and significant active learning (service-learning, international experience, research, etc.).</w:t>
      </w:r>
    </w:p>
    <w:p w:rsidR="00E707BA" w:rsidRPr="003C63B1" w:rsidRDefault="00E707BA" w:rsidP="00360A39">
      <w:pPr>
        <w:pStyle w:val="NormalWeb"/>
      </w:pPr>
    </w:p>
    <w:p w:rsidR="00E707BA" w:rsidRPr="00216A86" w:rsidRDefault="00E707BA" w:rsidP="007F04A2">
      <w:pPr>
        <w:rPr>
          <w:b/>
          <w:bCs/>
        </w:rPr>
      </w:pPr>
      <w:r>
        <w:rPr>
          <w:b/>
          <w:bCs/>
        </w:rPr>
        <w:t>Goals and Objectives 2010-2015</w:t>
      </w:r>
    </w:p>
    <w:p w:rsidR="00E707BA" w:rsidRDefault="00E707BA" w:rsidP="007F04A2">
      <w:pPr>
        <w:rPr>
          <w:b/>
          <w:bCs/>
        </w:rPr>
      </w:pPr>
    </w:p>
    <w:p w:rsidR="00E707BA" w:rsidRDefault="00E707BA" w:rsidP="007F04A2">
      <w:pPr>
        <w:rPr>
          <w:b/>
          <w:bCs/>
        </w:rPr>
      </w:pPr>
    </w:p>
    <w:p w:rsidR="00E707BA" w:rsidRPr="002C1AB9" w:rsidRDefault="00E707BA" w:rsidP="007F04A2">
      <w:pPr>
        <w:rPr>
          <w:b/>
          <w:bCs/>
        </w:rPr>
      </w:pPr>
      <w:r>
        <w:rPr>
          <w:b/>
          <w:bCs/>
        </w:rPr>
        <w:t xml:space="preserve">Goal 1: </w:t>
      </w:r>
      <w:r w:rsidR="009E07D0">
        <w:rPr>
          <w:b/>
          <w:bCs/>
        </w:rPr>
        <w:t>The Meijer Honors College will more fully develop a nurturing living/learning environment</w:t>
      </w:r>
      <w:r w:rsidR="00C62376">
        <w:rPr>
          <w:b/>
          <w:bCs/>
        </w:rPr>
        <w:t xml:space="preserve"> by fostering interconnections amongst students, staff, and faculty</w:t>
      </w:r>
      <w:r w:rsidRPr="00DF424F">
        <w:rPr>
          <w:b/>
          <w:bCs/>
        </w:rPr>
        <w:t>.</w:t>
      </w:r>
    </w:p>
    <w:p w:rsidR="00E707BA" w:rsidRDefault="00E707BA" w:rsidP="002A5E95">
      <w:pPr>
        <w:rPr>
          <w:i/>
          <w:iCs/>
        </w:rPr>
      </w:pPr>
    </w:p>
    <w:p w:rsidR="006259A9" w:rsidRDefault="00E707BA" w:rsidP="006259A9">
      <w:pPr>
        <w:ind w:left="720"/>
      </w:pPr>
      <w:r w:rsidRPr="001B0F10">
        <w:rPr>
          <w:b/>
          <w:bCs/>
        </w:rPr>
        <w:t>1.</w:t>
      </w:r>
      <w:r w:rsidR="00C62376">
        <w:rPr>
          <w:b/>
          <w:bCs/>
        </w:rPr>
        <w:t>1</w:t>
      </w:r>
      <w:r w:rsidR="00BE453E">
        <w:t xml:space="preserve"> By 2015, Honors Community Council will sponsor </w:t>
      </w:r>
      <w:proofErr w:type="gramStart"/>
      <w:r w:rsidR="00BE453E">
        <w:t>6 academic events/year,</w:t>
      </w:r>
      <w:proofErr w:type="gramEnd"/>
      <w:r w:rsidR="00BE453E">
        <w:t xml:space="preserve"> and will be involved in planning and promoting the Meijer Lecture Series.</w:t>
      </w:r>
    </w:p>
    <w:p w:rsidR="006259A9" w:rsidRDefault="006259A9" w:rsidP="006259A9">
      <w:pPr>
        <w:ind w:left="720"/>
        <w:rPr>
          <w:b/>
        </w:rPr>
      </w:pPr>
    </w:p>
    <w:p w:rsidR="006259A9" w:rsidRDefault="00C62376" w:rsidP="006259A9">
      <w:pPr>
        <w:ind w:left="720"/>
      </w:pPr>
      <w:r>
        <w:rPr>
          <w:b/>
        </w:rPr>
        <w:t>1.2</w:t>
      </w:r>
      <w:r w:rsidR="00BE453E">
        <w:rPr>
          <w:b/>
        </w:rPr>
        <w:t xml:space="preserve"> </w:t>
      </w:r>
      <w:r w:rsidR="006259A9">
        <w:t>By 2013, 20% of freshman courses will participate in honors-wide co-curricular activities (not just outside activities created for specific courses).</w:t>
      </w:r>
    </w:p>
    <w:p w:rsidR="006259A9" w:rsidRDefault="006259A9" w:rsidP="006259A9">
      <w:pPr>
        <w:ind w:left="720"/>
      </w:pPr>
    </w:p>
    <w:p w:rsidR="006259A9" w:rsidRDefault="00C62376" w:rsidP="006259A9">
      <w:pPr>
        <w:ind w:left="720"/>
      </w:pPr>
      <w:r>
        <w:rPr>
          <w:b/>
        </w:rPr>
        <w:t>1.3</w:t>
      </w:r>
      <w:r w:rsidR="006259A9">
        <w:rPr>
          <w:b/>
        </w:rPr>
        <w:t xml:space="preserve"> </w:t>
      </w:r>
      <w:r w:rsidR="006259A9">
        <w:t>By 2013, 20% of Honors students will attend formal and/or informal sessions for a Meijer Lecture.</w:t>
      </w:r>
    </w:p>
    <w:p w:rsidR="00C62376" w:rsidRDefault="00C62376" w:rsidP="006259A9">
      <w:pPr>
        <w:ind w:left="720"/>
      </w:pPr>
    </w:p>
    <w:p w:rsidR="006259A9" w:rsidRDefault="00C62376" w:rsidP="006259A9">
      <w:pPr>
        <w:ind w:left="720"/>
      </w:pPr>
      <w:r>
        <w:rPr>
          <w:b/>
        </w:rPr>
        <w:t>1.4</w:t>
      </w:r>
      <w:r w:rsidR="006259A9">
        <w:rPr>
          <w:b/>
        </w:rPr>
        <w:t xml:space="preserve"> </w:t>
      </w:r>
      <w:r w:rsidR="006259A9">
        <w:t>By 2013, the mentor program will have more effective selection, training, and accountability process.</w:t>
      </w:r>
    </w:p>
    <w:p w:rsidR="006259A9" w:rsidRDefault="006259A9" w:rsidP="006259A9">
      <w:pPr>
        <w:ind w:left="720"/>
        <w:rPr>
          <w:b/>
        </w:rPr>
      </w:pPr>
    </w:p>
    <w:p w:rsidR="006259A9" w:rsidRDefault="00C62376" w:rsidP="006259A9">
      <w:pPr>
        <w:ind w:left="720"/>
      </w:pPr>
      <w:r>
        <w:rPr>
          <w:b/>
        </w:rPr>
        <w:t>1.5</w:t>
      </w:r>
      <w:r w:rsidR="006259A9">
        <w:rPr>
          <w:b/>
        </w:rPr>
        <w:t xml:space="preserve"> </w:t>
      </w:r>
      <w:r w:rsidR="006259A9">
        <w:t>Grow fulltime permanent faculty to 6 by 2011 and residential faculty to 12 by 2015.</w:t>
      </w:r>
    </w:p>
    <w:p w:rsidR="006259A9" w:rsidRDefault="006259A9" w:rsidP="006259A9">
      <w:pPr>
        <w:ind w:left="720"/>
        <w:rPr>
          <w:b/>
        </w:rPr>
      </w:pPr>
    </w:p>
    <w:p w:rsidR="006259A9" w:rsidRDefault="00C62376" w:rsidP="006259A9">
      <w:pPr>
        <w:ind w:left="720"/>
      </w:pPr>
      <w:r>
        <w:rPr>
          <w:b/>
        </w:rPr>
        <w:lastRenderedPageBreak/>
        <w:t>1.6</w:t>
      </w:r>
      <w:r w:rsidR="006259A9">
        <w:rPr>
          <w:b/>
        </w:rPr>
        <w:t xml:space="preserve"> </w:t>
      </w:r>
      <w:r w:rsidR="006259A9">
        <w:t xml:space="preserve">By 2013, have 2-4 </w:t>
      </w:r>
      <w:proofErr w:type="gramStart"/>
      <w:r w:rsidR="006259A9">
        <w:t>faculty</w:t>
      </w:r>
      <w:proofErr w:type="gramEnd"/>
      <w:r w:rsidR="006259A9">
        <w:t xml:space="preserve"> regularly attending MEHA or NCHC annual conference.</w:t>
      </w:r>
    </w:p>
    <w:p w:rsidR="00F772E4" w:rsidRDefault="00F772E4" w:rsidP="006259A9">
      <w:pPr>
        <w:ind w:left="720"/>
      </w:pPr>
    </w:p>
    <w:p w:rsidR="00F772E4" w:rsidRDefault="00C62376" w:rsidP="006259A9">
      <w:pPr>
        <w:ind w:left="720"/>
      </w:pPr>
      <w:r>
        <w:rPr>
          <w:b/>
        </w:rPr>
        <w:t>1.7</w:t>
      </w:r>
      <w:r w:rsidR="00F772E4">
        <w:rPr>
          <w:b/>
        </w:rPr>
        <w:t xml:space="preserve"> </w:t>
      </w:r>
      <w:r w:rsidR="00F772E4">
        <w:t xml:space="preserve">In Fall 2011, develop committee to nominate candidates for Meijer Endowed Chair and create structures/mechanisms for the chair to have maximum impact on students.  </w:t>
      </w:r>
    </w:p>
    <w:p w:rsidR="00F772E4" w:rsidRDefault="00F772E4" w:rsidP="006259A9">
      <w:pPr>
        <w:ind w:left="720"/>
      </w:pPr>
    </w:p>
    <w:p w:rsidR="00F772E4" w:rsidRDefault="00F772E4" w:rsidP="006259A9">
      <w:pPr>
        <w:ind w:left="720"/>
      </w:pPr>
      <w:r>
        <w:rPr>
          <w:b/>
        </w:rPr>
        <w:t>1.</w:t>
      </w:r>
      <w:r w:rsidR="00C62376">
        <w:rPr>
          <w:b/>
        </w:rPr>
        <w:t>8</w:t>
      </w:r>
      <w:r>
        <w:t xml:space="preserve"> Have first Meijer Endowed Chair in place by </w:t>
      </w:r>
      <w:proofErr w:type="gramStart"/>
      <w:r>
        <w:t>Fall</w:t>
      </w:r>
      <w:proofErr w:type="gramEnd"/>
      <w:r>
        <w:t xml:space="preserve"> 2012.</w:t>
      </w:r>
    </w:p>
    <w:p w:rsidR="00B269CD" w:rsidRDefault="00B269CD" w:rsidP="006259A9">
      <w:pPr>
        <w:ind w:left="720"/>
      </w:pPr>
    </w:p>
    <w:p w:rsidR="00B269CD" w:rsidRPr="00F772E4" w:rsidRDefault="00B269CD" w:rsidP="006259A9">
      <w:pPr>
        <w:ind w:left="720"/>
      </w:pPr>
      <w:r w:rsidRPr="003D6660">
        <w:rPr>
          <w:b/>
        </w:rPr>
        <w:t>1.</w:t>
      </w:r>
      <w:r w:rsidR="00C62376">
        <w:rPr>
          <w:b/>
        </w:rPr>
        <w:t>9</w:t>
      </w:r>
      <w:r>
        <w:t xml:space="preserve"> Develop a plan to work towards a more diverse student body in </w:t>
      </w:r>
      <w:proofErr w:type="gramStart"/>
      <w:r>
        <w:t>Honors,</w:t>
      </w:r>
      <w:proofErr w:type="gramEnd"/>
      <w:r>
        <w:t xml:space="preserve"> perhaps by partnering with high schools, attracting more transfer students, using Meijer First Generation Scholarship, etc.</w:t>
      </w:r>
    </w:p>
    <w:p w:rsidR="006259A9" w:rsidRDefault="006259A9" w:rsidP="006259A9">
      <w:pPr>
        <w:rPr>
          <w:b/>
        </w:rPr>
      </w:pPr>
    </w:p>
    <w:p w:rsidR="006259A9" w:rsidRPr="00860126" w:rsidRDefault="006259A9" w:rsidP="006259A9">
      <w:pPr>
        <w:rPr>
          <w:b/>
        </w:rPr>
      </w:pPr>
      <w:r>
        <w:rPr>
          <w:b/>
        </w:rPr>
        <w:t xml:space="preserve">Goal 2: </w:t>
      </w:r>
      <w:r w:rsidRPr="00860126">
        <w:rPr>
          <w:b/>
        </w:rPr>
        <w:t>The Meijer Honors College will increase student retention and promote excellence and student success (by increasing number of high impact practices each student participates in).</w:t>
      </w:r>
    </w:p>
    <w:p w:rsidR="00955CAD" w:rsidRDefault="00955CAD" w:rsidP="00955CAD">
      <w:pPr>
        <w:rPr>
          <w:b/>
          <w:bCs/>
        </w:rPr>
      </w:pPr>
    </w:p>
    <w:p w:rsidR="00380F3C" w:rsidRDefault="00380F3C" w:rsidP="00380F3C">
      <w:pPr>
        <w:ind w:left="720"/>
      </w:pPr>
      <w:r>
        <w:rPr>
          <w:b/>
          <w:bCs/>
        </w:rPr>
        <w:t>2</w:t>
      </w:r>
      <w:r w:rsidRPr="007F04A2">
        <w:rPr>
          <w:b/>
          <w:bCs/>
        </w:rPr>
        <w:t>.1</w:t>
      </w:r>
      <w:r w:rsidRPr="007F04A2">
        <w:t xml:space="preserve"> </w:t>
      </w:r>
      <w:r>
        <w:t xml:space="preserve">Grow Honors College active students by 10% by 2015.  </w:t>
      </w:r>
    </w:p>
    <w:p w:rsidR="00380F3C" w:rsidRDefault="00380F3C" w:rsidP="00380F3C">
      <w:pPr>
        <w:ind w:left="720"/>
      </w:pPr>
    </w:p>
    <w:p w:rsidR="00380F3C" w:rsidRDefault="00380F3C" w:rsidP="00380F3C">
      <w:pPr>
        <w:ind w:left="720"/>
      </w:pPr>
      <w:r>
        <w:rPr>
          <w:b/>
          <w:bCs/>
        </w:rPr>
        <w:t>2</w:t>
      </w:r>
      <w:r w:rsidRPr="007F04A2">
        <w:rPr>
          <w:b/>
          <w:bCs/>
        </w:rPr>
        <w:t>.2</w:t>
      </w:r>
      <w:r w:rsidRPr="007F04A2">
        <w:t xml:space="preserve"> </w:t>
      </w:r>
      <w:r>
        <w:t xml:space="preserve">Increase internal transfers 50% by 2015. </w:t>
      </w:r>
    </w:p>
    <w:p w:rsidR="00380F3C" w:rsidRDefault="00380F3C" w:rsidP="00380F3C">
      <w:pPr>
        <w:ind w:left="720"/>
      </w:pPr>
    </w:p>
    <w:p w:rsidR="00380F3C" w:rsidRPr="00380F3C" w:rsidRDefault="00380F3C" w:rsidP="00380F3C">
      <w:pPr>
        <w:ind w:left="720"/>
      </w:pPr>
      <w:r>
        <w:rPr>
          <w:b/>
          <w:bCs/>
        </w:rPr>
        <w:t>2</w:t>
      </w:r>
      <w:r w:rsidRPr="007F04A2">
        <w:rPr>
          <w:b/>
          <w:bCs/>
        </w:rPr>
        <w:t>.3</w:t>
      </w:r>
      <w:r w:rsidRPr="007F04A2">
        <w:t xml:space="preserve"> </w:t>
      </w:r>
      <w:r>
        <w:t xml:space="preserve">Increase external transfers 150% by 2015.  </w:t>
      </w:r>
    </w:p>
    <w:p w:rsidR="00380F3C" w:rsidRDefault="00380F3C" w:rsidP="00955CAD">
      <w:pPr>
        <w:ind w:firstLine="720"/>
        <w:rPr>
          <w:b/>
          <w:bCs/>
        </w:rPr>
      </w:pPr>
    </w:p>
    <w:p w:rsidR="00955CAD" w:rsidRDefault="00E707BA" w:rsidP="00955CAD">
      <w:pPr>
        <w:ind w:firstLine="720"/>
      </w:pPr>
      <w:r w:rsidRPr="00DF424F">
        <w:rPr>
          <w:b/>
          <w:bCs/>
        </w:rPr>
        <w:t>2.</w:t>
      </w:r>
      <w:r w:rsidR="00380F3C">
        <w:rPr>
          <w:b/>
          <w:bCs/>
        </w:rPr>
        <w:t>4</w:t>
      </w:r>
      <w:r w:rsidRPr="00DF424F">
        <w:t xml:space="preserve"> </w:t>
      </w:r>
      <w:r w:rsidR="00955CAD" w:rsidRPr="00955CAD">
        <w:t>The “Scholars’ Institute” piloted in Honors in the summer of 2010 will be assessed for</w:t>
      </w:r>
      <w:r w:rsidR="00955CAD">
        <w:t xml:space="preserve"> effectiveness as a high impact</w:t>
      </w:r>
    </w:p>
    <w:p w:rsidR="00955CAD" w:rsidRPr="00955CAD" w:rsidRDefault="00955CAD" w:rsidP="00955CAD">
      <w:pPr>
        <w:ind w:firstLine="720"/>
      </w:pPr>
      <w:proofErr w:type="gramStart"/>
      <w:r w:rsidRPr="00955CAD">
        <w:t>practice</w:t>
      </w:r>
      <w:proofErr w:type="gramEnd"/>
      <w:r w:rsidRPr="00955CAD">
        <w:t xml:space="preserve"> increasing student success</w:t>
      </w:r>
      <w:r>
        <w:t>.</w:t>
      </w:r>
    </w:p>
    <w:p w:rsidR="00955CAD" w:rsidRDefault="00955CAD" w:rsidP="00955CAD">
      <w:pPr>
        <w:rPr>
          <w:b/>
          <w:bCs/>
        </w:rPr>
      </w:pPr>
    </w:p>
    <w:p w:rsidR="00955CAD" w:rsidRDefault="00E707BA" w:rsidP="00955CAD">
      <w:pPr>
        <w:ind w:firstLine="720"/>
      </w:pPr>
      <w:r w:rsidRPr="00DF424F">
        <w:rPr>
          <w:b/>
          <w:bCs/>
        </w:rPr>
        <w:t>2.</w:t>
      </w:r>
      <w:r w:rsidR="00380F3C">
        <w:rPr>
          <w:b/>
          <w:bCs/>
        </w:rPr>
        <w:t>5</w:t>
      </w:r>
      <w:r w:rsidRPr="00955CAD">
        <w:t xml:space="preserve"> </w:t>
      </w:r>
      <w:r w:rsidR="00955CAD" w:rsidRPr="00955CAD">
        <w:t xml:space="preserve">If the “Scholars’ Institute” proves to have increased student success in Honors, it will be </w:t>
      </w:r>
      <w:r w:rsidR="00955CAD">
        <w:t>honed and offered again.  If it</w:t>
      </w:r>
    </w:p>
    <w:p w:rsidR="00955CAD" w:rsidRDefault="00955CAD" w:rsidP="00955CAD">
      <w:pPr>
        <w:ind w:firstLine="720"/>
        <w:rPr>
          <w:sz w:val="18"/>
          <w:szCs w:val="18"/>
        </w:rPr>
      </w:pPr>
      <w:proofErr w:type="gramStart"/>
      <w:r w:rsidRPr="00955CAD">
        <w:t>continues</w:t>
      </w:r>
      <w:proofErr w:type="gramEnd"/>
      <w:r w:rsidRPr="00955CAD">
        <w:t xml:space="preserve"> to be successful, it will be offered each summer as an option for incoming freshmen.</w:t>
      </w:r>
      <w:r w:rsidRPr="00882856">
        <w:rPr>
          <w:sz w:val="18"/>
          <w:szCs w:val="18"/>
        </w:rPr>
        <w:t xml:space="preserve">  </w:t>
      </w:r>
    </w:p>
    <w:p w:rsidR="00955CAD" w:rsidRDefault="00955CAD" w:rsidP="00955CAD">
      <w:pPr>
        <w:ind w:firstLine="720"/>
        <w:rPr>
          <w:sz w:val="18"/>
          <w:szCs w:val="18"/>
        </w:rPr>
      </w:pPr>
    </w:p>
    <w:p w:rsidR="00955CAD" w:rsidRDefault="00380F3C" w:rsidP="00955CAD">
      <w:pPr>
        <w:ind w:firstLine="720"/>
        <w:rPr>
          <w:sz w:val="18"/>
          <w:szCs w:val="18"/>
        </w:rPr>
      </w:pPr>
      <w:r>
        <w:rPr>
          <w:b/>
          <w:bCs/>
        </w:rPr>
        <w:t>2.6</w:t>
      </w:r>
      <w:r w:rsidR="00955CAD">
        <w:rPr>
          <w:b/>
          <w:bCs/>
        </w:rPr>
        <w:t xml:space="preserve"> </w:t>
      </w:r>
      <w:r w:rsidR="00955CAD" w:rsidRPr="00955CAD">
        <w:t>Consult with other units of the university to help offer Scholars’ Institutes more widely</w:t>
      </w:r>
      <w:r w:rsidR="00955CAD">
        <w:t>.</w:t>
      </w:r>
    </w:p>
    <w:p w:rsidR="00955CAD" w:rsidRDefault="00955CAD" w:rsidP="00955CAD">
      <w:pPr>
        <w:ind w:firstLine="720"/>
        <w:rPr>
          <w:sz w:val="18"/>
          <w:szCs w:val="18"/>
        </w:rPr>
      </w:pPr>
    </w:p>
    <w:p w:rsidR="00017CAB" w:rsidRDefault="00955CAD" w:rsidP="00017CAB">
      <w:pPr>
        <w:ind w:left="720"/>
        <w:rPr>
          <w:color w:val="FF0000"/>
        </w:rPr>
      </w:pPr>
      <w:r w:rsidRPr="00955CAD">
        <w:rPr>
          <w:b/>
        </w:rPr>
        <w:t>2.</w:t>
      </w:r>
      <w:r w:rsidR="00380F3C">
        <w:rPr>
          <w:b/>
        </w:rPr>
        <w:t>7</w:t>
      </w:r>
      <w:r>
        <w:t xml:space="preserve"> </w:t>
      </w:r>
      <w:r w:rsidR="00983427">
        <w:t>By 2015,</w:t>
      </w:r>
      <w:r w:rsidR="00017CAB">
        <w:t xml:space="preserve"> increase student retention by reducing</w:t>
      </w:r>
      <w:r w:rsidR="00983427">
        <w:t xml:space="preserve"> % of freshmen who fall below 3.2 GPA first semester to 15% or less</w:t>
      </w:r>
      <w:r w:rsidR="00E707BA">
        <w:rPr>
          <w:color w:val="000000"/>
        </w:rPr>
        <w:t xml:space="preserve">. </w:t>
      </w:r>
      <w:r w:rsidR="00E707BA" w:rsidRPr="00DF424F">
        <w:rPr>
          <w:color w:val="FF0000"/>
        </w:rPr>
        <w:t xml:space="preserve"> </w:t>
      </w:r>
    </w:p>
    <w:p w:rsidR="00E707BA" w:rsidRDefault="00E707BA">
      <w:pPr>
        <w:ind w:left="720"/>
        <w:rPr>
          <w:color w:val="FF0000"/>
        </w:rPr>
      </w:pPr>
    </w:p>
    <w:p w:rsidR="00017CAB" w:rsidRPr="00017CAB" w:rsidRDefault="00017CAB">
      <w:pPr>
        <w:ind w:left="720"/>
      </w:pPr>
      <w:r>
        <w:rPr>
          <w:b/>
        </w:rPr>
        <w:t xml:space="preserve">2.8 </w:t>
      </w:r>
      <w:r>
        <w:t xml:space="preserve">Develop plan to incorporate internships, </w:t>
      </w:r>
      <w:proofErr w:type="spellStart"/>
      <w:r>
        <w:t>practica</w:t>
      </w:r>
      <w:proofErr w:type="spellEnd"/>
      <w:r>
        <w:t>, and/or other co-curricular experiences by 2015.</w:t>
      </w:r>
    </w:p>
    <w:p w:rsidR="00017CAB" w:rsidRDefault="00017CAB">
      <w:pPr>
        <w:ind w:left="720"/>
        <w:rPr>
          <w:b/>
        </w:rPr>
      </w:pPr>
    </w:p>
    <w:p w:rsidR="00E707BA" w:rsidRDefault="00955CAD">
      <w:pPr>
        <w:ind w:left="720"/>
      </w:pPr>
      <w:r w:rsidRPr="00955CAD">
        <w:rPr>
          <w:b/>
        </w:rPr>
        <w:t>2.</w:t>
      </w:r>
      <w:r w:rsidR="00017CAB">
        <w:rPr>
          <w:b/>
        </w:rPr>
        <w:t>9</w:t>
      </w:r>
      <w:r>
        <w:t xml:space="preserve"> </w:t>
      </w:r>
      <w:r w:rsidR="00983427">
        <w:t>40% of honors students study abroad by 2015</w:t>
      </w:r>
      <w:r w:rsidR="00E707BA">
        <w:t xml:space="preserve">. </w:t>
      </w:r>
    </w:p>
    <w:p w:rsidR="00E707BA" w:rsidRDefault="00E707BA">
      <w:pPr>
        <w:ind w:left="720"/>
        <w:rPr>
          <w:color w:val="FF0000"/>
        </w:rPr>
      </w:pPr>
    </w:p>
    <w:p w:rsidR="00E707BA" w:rsidRDefault="00E707BA">
      <w:pPr>
        <w:pStyle w:val="BasicParagraph"/>
        <w:suppressAutoHyphens/>
        <w:ind w:left="720"/>
      </w:pPr>
      <w:r w:rsidRPr="007D4C7C">
        <w:rPr>
          <w:rFonts w:ascii="Times New Roman" w:hAnsi="Times New Roman" w:cs="Times New Roman"/>
          <w:b/>
          <w:bCs/>
          <w:color w:val="auto"/>
        </w:rPr>
        <w:t>2.</w:t>
      </w:r>
      <w:r w:rsidR="00017CAB">
        <w:rPr>
          <w:rFonts w:ascii="Times New Roman" w:hAnsi="Times New Roman" w:cs="Times New Roman"/>
          <w:b/>
          <w:bCs/>
          <w:color w:val="auto"/>
        </w:rPr>
        <w:t>10</w:t>
      </w:r>
      <w:r w:rsidRPr="00DF424F">
        <w:rPr>
          <w:rFonts w:ascii="Times New Roman" w:hAnsi="Times New Roman" w:cs="Times New Roman"/>
          <w:color w:val="FF0000"/>
        </w:rPr>
        <w:t xml:space="preserve"> </w:t>
      </w:r>
      <w:r w:rsidR="00316373">
        <w:t>Build ongoing international service-learning Ghana trip with multiple sites and participants from at least several different majors/departments</w:t>
      </w:r>
      <w:r>
        <w:t xml:space="preserve">. </w:t>
      </w:r>
    </w:p>
    <w:p w:rsidR="00E707BA" w:rsidRDefault="00E707BA">
      <w:pPr>
        <w:pStyle w:val="BasicParagraph"/>
        <w:suppressAutoHyphens/>
        <w:ind w:left="720"/>
      </w:pPr>
    </w:p>
    <w:p w:rsidR="00E707BA" w:rsidRDefault="00E707BA">
      <w:pPr>
        <w:pStyle w:val="BasicParagraph"/>
        <w:suppressAutoHyphens/>
        <w:ind w:left="720"/>
        <w:rPr>
          <w:rFonts w:ascii="Times New Roman" w:hAnsi="Times New Roman" w:cs="Times New Roman"/>
        </w:rPr>
      </w:pPr>
      <w:r w:rsidRPr="001B0F10">
        <w:rPr>
          <w:b/>
          <w:bCs/>
        </w:rPr>
        <w:t>2.</w:t>
      </w:r>
      <w:r w:rsidR="00380F3C">
        <w:rPr>
          <w:b/>
          <w:bCs/>
        </w:rPr>
        <w:t>1</w:t>
      </w:r>
      <w:r w:rsidR="00017CAB">
        <w:rPr>
          <w:b/>
          <w:bCs/>
        </w:rPr>
        <w:t>1</w:t>
      </w:r>
      <w:r>
        <w:t xml:space="preserve"> </w:t>
      </w:r>
      <w:r w:rsidR="00316373">
        <w:t>30% of honors students present research on or off campus by 2015</w:t>
      </w:r>
      <w:r>
        <w:rPr>
          <w:rFonts w:ascii="Times New Roman" w:hAnsi="Times New Roman" w:cs="Times New Roman"/>
        </w:rPr>
        <w:t>.</w:t>
      </w:r>
    </w:p>
    <w:p w:rsidR="00E707BA" w:rsidRDefault="00E707BA">
      <w:pPr>
        <w:ind w:left="720"/>
        <w:rPr>
          <w:color w:val="FF0000"/>
        </w:rPr>
      </w:pPr>
    </w:p>
    <w:p w:rsidR="00E707BA" w:rsidRDefault="00E707BA">
      <w:pPr>
        <w:ind w:left="720"/>
        <w:rPr>
          <w:color w:val="FF0000"/>
        </w:rPr>
      </w:pPr>
      <w:r w:rsidRPr="00DF424F">
        <w:rPr>
          <w:b/>
          <w:bCs/>
        </w:rPr>
        <w:t>2.</w:t>
      </w:r>
      <w:r w:rsidR="00380F3C">
        <w:rPr>
          <w:b/>
          <w:bCs/>
        </w:rPr>
        <w:t>1</w:t>
      </w:r>
      <w:r w:rsidR="00017CAB">
        <w:rPr>
          <w:b/>
          <w:bCs/>
        </w:rPr>
        <w:t>2</w:t>
      </w:r>
      <w:r w:rsidRPr="00DF424F">
        <w:t xml:space="preserve"> </w:t>
      </w:r>
      <w:r w:rsidR="00316373">
        <w:t>15% of freshmen present at SSD or off-campus by 2015</w:t>
      </w:r>
      <w:r>
        <w:t>.</w:t>
      </w:r>
    </w:p>
    <w:p w:rsidR="00E707BA" w:rsidRDefault="00E707BA">
      <w:pPr>
        <w:ind w:left="720"/>
        <w:rPr>
          <w:b/>
          <w:bCs/>
        </w:rPr>
      </w:pPr>
    </w:p>
    <w:p w:rsidR="00E707BA" w:rsidRDefault="00E707BA">
      <w:pPr>
        <w:ind w:left="720"/>
      </w:pPr>
      <w:r w:rsidRPr="00DF424F">
        <w:rPr>
          <w:b/>
          <w:bCs/>
        </w:rPr>
        <w:t>2.</w:t>
      </w:r>
      <w:r w:rsidR="00380F3C">
        <w:rPr>
          <w:b/>
          <w:bCs/>
        </w:rPr>
        <w:t>1</w:t>
      </w:r>
      <w:r w:rsidR="00017CAB">
        <w:rPr>
          <w:b/>
          <w:bCs/>
        </w:rPr>
        <w:t>3</w:t>
      </w:r>
      <w:r w:rsidRPr="00DF424F">
        <w:t xml:space="preserve"> </w:t>
      </w:r>
      <w:r w:rsidR="00316373">
        <w:t>20% of classes offer service-learning component by 2015</w:t>
      </w:r>
      <w:r>
        <w:t xml:space="preserve">. </w:t>
      </w:r>
    </w:p>
    <w:p w:rsidR="00E707BA" w:rsidRDefault="00E707BA">
      <w:pPr>
        <w:ind w:left="720"/>
      </w:pPr>
    </w:p>
    <w:p w:rsidR="00E707BA" w:rsidRDefault="00E707BA">
      <w:pPr>
        <w:ind w:left="720"/>
      </w:pPr>
      <w:r w:rsidRPr="007D4C7C">
        <w:rPr>
          <w:b/>
          <w:bCs/>
        </w:rPr>
        <w:t>2.</w:t>
      </w:r>
      <w:r w:rsidR="00955CAD">
        <w:rPr>
          <w:b/>
          <w:bCs/>
        </w:rPr>
        <w:t>1</w:t>
      </w:r>
      <w:r w:rsidR="00017CAB">
        <w:rPr>
          <w:b/>
          <w:bCs/>
        </w:rPr>
        <w:t>4</w:t>
      </w:r>
      <w:r>
        <w:t xml:space="preserve"> </w:t>
      </w:r>
      <w:r w:rsidR="00316373">
        <w:t>Have four honors students/year win nationally-competitive fellowships by 2015</w:t>
      </w:r>
      <w:r>
        <w:t>.</w:t>
      </w:r>
    </w:p>
    <w:p w:rsidR="00E707BA" w:rsidRDefault="00E707BA">
      <w:pPr>
        <w:ind w:left="720"/>
      </w:pPr>
    </w:p>
    <w:p w:rsidR="00E707BA" w:rsidRDefault="00E707BA">
      <w:pPr>
        <w:ind w:left="720"/>
      </w:pPr>
      <w:r w:rsidRPr="007D4C7C">
        <w:rPr>
          <w:b/>
          <w:bCs/>
        </w:rPr>
        <w:t>2.</w:t>
      </w:r>
      <w:r w:rsidR="00955CAD">
        <w:rPr>
          <w:b/>
          <w:bCs/>
        </w:rPr>
        <w:t>1</w:t>
      </w:r>
      <w:r w:rsidR="00017CAB">
        <w:rPr>
          <w:b/>
          <w:bCs/>
        </w:rPr>
        <w:t>5</w:t>
      </w:r>
      <w:r>
        <w:t xml:space="preserve"> </w:t>
      </w:r>
      <w:r w:rsidR="00316373">
        <w:t>Have 15% of courses interdisciplinary problem-based (preferably team-taught) by 2015</w:t>
      </w:r>
      <w:r>
        <w:t>.</w:t>
      </w:r>
    </w:p>
    <w:p w:rsidR="00E707BA" w:rsidRPr="002C1AB9" w:rsidRDefault="00E707BA" w:rsidP="007F04A2"/>
    <w:p w:rsidR="00FF0010" w:rsidRPr="00FF0010" w:rsidRDefault="00E707BA" w:rsidP="00FF0010">
      <w:pPr>
        <w:pStyle w:val="ListParagraph"/>
        <w:ind w:left="0"/>
        <w:rPr>
          <w:rFonts w:ascii="Times New Roman" w:hAnsi="Times New Roman" w:cs="Times New Roman"/>
          <w:b/>
        </w:rPr>
      </w:pPr>
      <w:r w:rsidRPr="00FF0010">
        <w:rPr>
          <w:rFonts w:ascii="Times New Roman" w:hAnsi="Times New Roman" w:cs="Times New Roman"/>
          <w:b/>
          <w:bCs/>
        </w:rPr>
        <w:t>Goal 3</w:t>
      </w:r>
      <w:r w:rsidRPr="00DF424F">
        <w:rPr>
          <w:b/>
          <w:bCs/>
        </w:rPr>
        <w:t xml:space="preserve">: </w:t>
      </w:r>
      <w:r w:rsidR="00FF0010" w:rsidRPr="00FF0010">
        <w:rPr>
          <w:rFonts w:ascii="Times New Roman" w:hAnsi="Times New Roman" w:cs="Times New Roman"/>
          <w:b/>
        </w:rPr>
        <w:t>Participate in and contribute to interdisciplinary initiatives in the Brooks College of Interdisciplinary Studies and the university as a whole.</w:t>
      </w:r>
    </w:p>
    <w:p w:rsidR="00E707BA" w:rsidRDefault="00E707BA" w:rsidP="007F04A2">
      <w:pPr>
        <w:rPr>
          <w:b/>
          <w:bCs/>
          <w:color w:val="000000"/>
        </w:rPr>
      </w:pPr>
    </w:p>
    <w:p w:rsidR="00E707BA" w:rsidRPr="00F772E4" w:rsidRDefault="00E707BA" w:rsidP="00F772E4">
      <w:pPr>
        <w:pStyle w:val="ListParagraph"/>
        <w:ind w:left="0" w:firstLine="720"/>
        <w:rPr>
          <w:rFonts w:ascii="Times New Roman" w:hAnsi="Times New Roman" w:cs="Times New Roman"/>
        </w:rPr>
      </w:pPr>
      <w:r w:rsidRPr="00F772E4">
        <w:rPr>
          <w:rFonts w:ascii="Times New Roman" w:hAnsi="Times New Roman" w:cs="Times New Roman"/>
          <w:b/>
          <w:bCs/>
          <w:color w:val="000000"/>
        </w:rPr>
        <w:t>3.1</w:t>
      </w:r>
      <w:r w:rsidRPr="00DF424F">
        <w:rPr>
          <w:color w:val="000000"/>
        </w:rPr>
        <w:t xml:space="preserve"> </w:t>
      </w:r>
      <w:r w:rsidR="00F772E4" w:rsidRPr="00F772E4">
        <w:rPr>
          <w:rFonts w:ascii="Times New Roman" w:hAnsi="Times New Roman" w:cs="Times New Roman"/>
        </w:rPr>
        <w:t>Meijer endowed faculty member take leadership role in Center for Creative Inquiry</w:t>
      </w:r>
      <w:r>
        <w:rPr>
          <w:color w:val="000000"/>
        </w:rPr>
        <w:t xml:space="preserve">. </w:t>
      </w:r>
    </w:p>
    <w:p w:rsidR="00E707BA" w:rsidRDefault="00E707BA">
      <w:pPr>
        <w:ind w:left="720"/>
        <w:rPr>
          <w:b/>
          <w:bCs/>
          <w:color w:val="000000"/>
        </w:rPr>
      </w:pPr>
    </w:p>
    <w:p w:rsidR="00E707BA" w:rsidRDefault="00E707BA">
      <w:pPr>
        <w:ind w:left="720"/>
        <w:rPr>
          <w:color w:val="000000"/>
        </w:rPr>
      </w:pPr>
      <w:r w:rsidRPr="00DF424F">
        <w:rPr>
          <w:b/>
          <w:bCs/>
          <w:color w:val="000000"/>
        </w:rPr>
        <w:t>3.2</w:t>
      </w:r>
      <w:r w:rsidRPr="00DF424F">
        <w:rPr>
          <w:color w:val="000000"/>
        </w:rPr>
        <w:t xml:space="preserve"> </w:t>
      </w:r>
      <w:r w:rsidR="00F772E4">
        <w:t>Develop one other interdisciplinary international service-learning experience by 2015</w:t>
      </w:r>
      <w:r>
        <w:rPr>
          <w:color w:val="000000"/>
        </w:rPr>
        <w:t>.</w:t>
      </w:r>
    </w:p>
    <w:p w:rsidR="00E707BA" w:rsidRDefault="00E707BA">
      <w:pPr>
        <w:ind w:left="720"/>
        <w:rPr>
          <w:color w:val="000000"/>
        </w:rPr>
      </w:pPr>
    </w:p>
    <w:p w:rsidR="00E707BA" w:rsidRDefault="00E707BA">
      <w:pPr>
        <w:ind w:left="720"/>
        <w:rPr>
          <w:color w:val="000000"/>
        </w:rPr>
      </w:pPr>
      <w:r w:rsidRPr="00DF424F">
        <w:rPr>
          <w:b/>
          <w:bCs/>
        </w:rPr>
        <w:t xml:space="preserve">3.3 </w:t>
      </w:r>
      <w:r w:rsidR="00F772E4">
        <w:t>Develop Center for Big History</w:t>
      </w:r>
      <w:r>
        <w:rPr>
          <w:color w:val="000000"/>
        </w:rPr>
        <w:t>.</w:t>
      </w:r>
    </w:p>
    <w:p w:rsidR="00E707BA" w:rsidRDefault="00E707BA">
      <w:pPr>
        <w:ind w:left="720"/>
        <w:rPr>
          <w:color w:val="000000"/>
        </w:rPr>
      </w:pPr>
    </w:p>
    <w:p w:rsidR="00E707BA" w:rsidRPr="002C1AB9" w:rsidRDefault="00E707BA" w:rsidP="007F04A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Goal 4: </w:t>
      </w:r>
      <w:r w:rsidR="008A70ED" w:rsidRPr="008A70ED">
        <w:rPr>
          <w:b/>
        </w:rPr>
        <w:t>Implement a governance system for Honors</w:t>
      </w:r>
      <w:r w:rsidRPr="008A70ED">
        <w:rPr>
          <w:b/>
          <w:bCs/>
          <w:color w:val="000000"/>
        </w:rPr>
        <w:t>.</w:t>
      </w:r>
    </w:p>
    <w:p w:rsidR="00E707BA" w:rsidRPr="002C1AB9" w:rsidRDefault="00E707BA" w:rsidP="007F04A2">
      <w:pPr>
        <w:rPr>
          <w:color w:val="FF0000"/>
        </w:rPr>
      </w:pPr>
    </w:p>
    <w:p w:rsidR="005F620B" w:rsidRDefault="00E707BA">
      <w:pPr>
        <w:ind w:left="720"/>
      </w:pPr>
      <w:r>
        <w:rPr>
          <w:b/>
          <w:bCs/>
        </w:rPr>
        <w:t>4.1</w:t>
      </w:r>
      <w:r w:rsidRPr="00DF424F">
        <w:t xml:space="preserve"> </w:t>
      </w:r>
      <w:r w:rsidR="008A70ED">
        <w:t xml:space="preserve">By </w:t>
      </w:r>
      <w:proofErr w:type="gramStart"/>
      <w:r w:rsidR="008A70ED">
        <w:t>2013,</w:t>
      </w:r>
      <w:proofErr w:type="gramEnd"/>
      <w:r w:rsidR="008A70ED">
        <w:t xml:space="preserve"> have fully-implemented governance system in Honors</w:t>
      </w:r>
      <w:r>
        <w:t>.</w:t>
      </w:r>
    </w:p>
    <w:p w:rsidR="00992432" w:rsidRDefault="00992432" w:rsidP="00992432"/>
    <w:p w:rsidR="00992432" w:rsidRPr="00992432" w:rsidRDefault="00992432" w:rsidP="00992432">
      <w:r w:rsidRPr="00992432">
        <w:rPr>
          <w:b/>
          <w:bCs/>
        </w:rPr>
        <w:t>Goal 5: The Meijer Fellowship Office will add value to student education and help prepare them to shape their futures.</w:t>
      </w:r>
    </w:p>
    <w:p w:rsidR="00992432" w:rsidRDefault="00992432">
      <w:pPr>
        <w:ind w:left="720"/>
      </w:pPr>
    </w:p>
    <w:p w:rsidR="00992432" w:rsidRDefault="00992432">
      <w:pPr>
        <w:ind w:left="720"/>
        <w:rPr>
          <w:b/>
        </w:rPr>
      </w:pPr>
      <w:r w:rsidRPr="00992432">
        <w:rPr>
          <w:b/>
        </w:rPr>
        <w:t xml:space="preserve">5.1 </w:t>
      </w:r>
      <w:r w:rsidRPr="00992432">
        <w:t>The Meijer Fellowship Office will play an instrumental role in building a Culture of Scholarly Engagement at GVSU</w:t>
      </w:r>
      <w:r>
        <w:rPr>
          <w:b/>
        </w:rPr>
        <w:t>.</w:t>
      </w:r>
    </w:p>
    <w:p w:rsidR="00992432" w:rsidRDefault="00992432">
      <w:pPr>
        <w:ind w:left="720"/>
        <w:rPr>
          <w:b/>
        </w:rPr>
      </w:pPr>
    </w:p>
    <w:p w:rsidR="00992432" w:rsidRDefault="00992432">
      <w:pPr>
        <w:ind w:left="720"/>
        <w:rPr>
          <w:b/>
        </w:rPr>
      </w:pPr>
      <w:r>
        <w:rPr>
          <w:b/>
        </w:rPr>
        <w:t xml:space="preserve">5.2 </w:t>
      </w:r>
      <w:r w:rsidRPr="00992432">
        <w:t>The Meijer Fellowship Office will increase the number of students making a positive contribution to West Michigan, the state, the nation and the world, through the services offered through the Office of Fellowships</w:t>
      </w:r>
      <w:r>
        <w:rPr>
          <w:b/>
        </w:rPr>
        <w:t>.</w:t>
      </w:r>
    </w:p>
    <w:p w:rsidR="00992432" w:rsidRDefault="00992432">
      <w:pPr>
        <w:ind w:left="720"/>
        <w:rPr>
          <w:b/>
        </w:rPr>
      </w:pPr>
    </w:p>
    <w:p w:rsidR="00E707BA" w:rsidRPr="00992432" w:rsidRDefault="00992432">
      <w:pPr>
        <w:ind w:left="720"/>
        <w:rPr>
          <w:b/>
        </w:rPr>
      </w:pPr>
      <w:r>
        <w:rPr>
          <w:b/>
        </w:rPr>
        <w:t xml:space="preserve">5.3 </w:t>
      </w:r>
      <w:r w:rsidRPr="00992432">
        <w:t>The Meijer Fellowship Office will implement assessment plan to determine effectiveness and future directions of Office of Fellowships</w:t>
      </w:r>
      <w:r>
        <w:t>.</w:t>
      </w:r>
      <w:r w:rsidRPr="00992432">
        <w:rPr>
          <w:b/>
        </w:rPr>
        <w:t xml:space="preserve"> </w:t>
      </w:r>
      <w:r w:rsidR="005F620B" w:rsidRPr="00992432">
        <w:rPr>
          <w:b/>
        </w:rPr>
        <w:br w:type="page"/>
      </w:r>
    </w:p>
    <w:p w:rsidR="00E707BA" w:rsidRDefault="00E707BA">
      <w:pPr>
        <w:ind w:left="720"/>
      </w:pPr>
    </w:p>
    <w:p w:rsidR="00E707BA" w:rsidRDefault="00E707BA"/>
    <w:tbl>
      <w:tblPr>
        <w:tblW w:w="13392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61"/>
        <w:gridCol w:w="1607"/>
        <w:gridCol w:w="1428"/>
        <w:gridCol w:w="1250"/>
        <w:gridCol w:w="1518"/>
        <w:gridCol w:w="1161"/>
        <w:gridCol w:w="1875"/>
        <w:gridCol w:w="1428"/>
        <w:gridCol w:w="1071"/>
        <w:gridCol w:w="893"/>
      </w:tblGrid>
      <w:tr w:rsidR="00E707BA" w:rsidRPr="008D12D1" w:rsidTr="000B3DA1">
        <w:trPr>
          <w:trHeight w:val="142"/>
        </w:trPr>
        <w:tc>
          <w:tcPr>
            <w:tcW w:w="1161" w:type="dxa"/>
            <w:tcBorders>
              <w:top w:val="single" w:sz="4" w:space="0" w:color="auto"/>
            </w:tcBorders>
            <w:shd w:val="clear" w:color="auto" w:fill="BFBFBF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475BC">
              <w:rPr>
                <w:b/>
                <w:bCs/>
                <w:sz w:val="20"/>
                <w:szCs w:val="20"/>
              </w:rPr>
              <w:t>University Objective</w:t>
            </w:r>
            <w:r w:rsidR="001F2C2B">
              <w:rPr>
                <w:b/>
                <w:bCs/>
                <w:sz w:val="20"/>
                <w:szCs w:val="20"/>
              </w:rPr>
              <w:t xml:space="preserve">/ Brooks </w:t>
            </w:r>
            <w:proofErr w:type="spellStart"/>
            <w:r w:rsidR="001F2C2B">
              <w:rPr>
                <w:b/>
                <w:bCs/>
                <w:sz w:val="20"/>
                <w:szCs w:val="20"/>
              </w:rPr>
              <w:t>Obj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BFBFBF"/>
          </w:tcPr>
          <w:p w:rsidR="00E707BA" w:rsidRDefault="009A07B5" w:rsidP="00F363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Meijer Honors</w:t>
            </w:r>
            <w:r w:rsidR="00E707BA">
              <w:rPr>
                <w:b/>
                <w:bCs/>
                <w:sz w:val="22"/>
                <w:szCs w:val="22"/>
              </w:rPr>
              <w:t xml:space="preserve"> College</w:t>
            </w:r>
          </w:p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Goal</w:t>
            </w:r>
            <w:r w:rsidRPr="00CD4FD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BFBFBF"/>
          </w:tcPr>
          <w:p w:rsidR="00E707BA" w:rsidRPr="008D12D1" w:rsidRDefault="009A07B5" w:rsidP="00E53221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Honors</w:t>
            </w:r>
            <w:r w:rsidR="00E707BA">
              <w:rPr>
                <w:b/>
                <w:bCs/>
                <w:sz w:val="22"/>
                <w:szCs w:val="22"/>
              </w:rPr>
              <w:t xml:space="preserve"> College</w:t>
            </w:r>
            <w:r w:rsidR="00E707BA" w:rsidRPr="00CD4FD7">
              <w:rPr>
                <w:b/>
                <w:bCs/>
                <w:sz w:val="22"/>
                <w:szCs w:val="22"/>
              </w:rPr>
              <w:t xml:space="preserve"> objective(s)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BFBFBF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Metric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BFBFBF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BFBFBF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Time-frame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BFBFBF"/>
          </w:tcPr>
          <w:p w:rsidR="00E707BA" w:rsidRPr="00CD4FD7" w:rsidRDefault="00E707BA" w:rsidP="00F46CE9">
            <w:pPr>
              <w:jc w:val="center"/>
              <w:rPr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Strategy(</w:t>
            </w:r>
            <w:proofErr w:type="spellStart"/>
            <w:r w:rsidRPr="00CD4FD7">
              <w:rPr>
                <w:b/>
                <w:bCs/>
                <w:sz w:val="22"/>
                <w:szCs w:val="22"/>
              </w:rPr>
              <w:t>ies</w:t>
            </w:r>
            <w:proofErr w:type="spellEnd"/>
            <w:r w:rsidRPr="00CD4FD7">
              <w:rPr>
                <w:b/>
                <w:bCs/>
                <w:sz w:val="22"/>
                <w:szCs w:val="22"/>
              </w:rPr>
              <w:t>)</w:t>
            </w:r>
          </w:p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Action(s)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BFBFBF"/>
          </w:tcPr>
          <w:p w:rsidR="00E707BA" w:rsidRPr="008D12D1" w:rsidRDefault="00E707BA" w:rsidP="00DE2A20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Groups Involved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BFBFBF"/>
          </w:tcPr>
          <w:p w:rsidR="00E707BA" w:rsidRPr="00CD4FD7" w:rsidRDefault="00E707BA" w:rsidP="00DE2A20">
            <w:pPr>
              <w:rPr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Resources</w:t>
            </w:r>
          </w:p>
          <w:p w:rsidR="00E707BA" w:rsidRPr="008D12D1" w:rsidRDefault="00E707BA" w:rsidP="00DE2A2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BFBFBF"/>
          </w:tcPr>
          <w:p w:rsidR="00E707BA" w:rsidRPr="00B75B28" w:rsidRDefault="00E707BA" w:rsidP="00DE2A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5B28">
              <w:rPr>
                <w:b/>
                <w:bCs/>
                <w:sz w:val="20"/>
                <w:szCs w:val="20"/>
              </w:rPr>
              <w:t>Status as of 1/4/10</w:t>
            </w:r>
          </w:p>
        </w:tc>
      </w:tr>
      <w:tr w:rsidR="00017CAB" w:rsidRPr="008D12D1" w:rsidTr="000B3DA1">
        <w:trPr>
          <w:trHeight w:val="142"/>
        </w:trPr>
        <w:tc>
          <w:tcPr>
            <w:tcW w:w="1161" w:type="dxa"/>
          </w:tcPr>
          <w:p w:rsidR="0077323E" w:rsidRDefault="0077323E" w:rsidP="002F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</w:t>
            </w:r>
          </w:p>
          <w:p w:rsidR="00017CAB" w:rsidRDefault="00017CAB" w:rsidP="002F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</w:t>
            </w:r>
          </w:p>
          <w:p w:rsidR="001F2C2B" w:rsidRDefault="001F2C2B" w:rsidP="002F4882">
            <w:pPr>
              <w:rPr>
                <w:sz w:val="18"/>
                <w:szCs w:val="18"/>
              </w:rPr>
            </w:pPr>
          </w:p>
          <w:p w:rsidR="001F2C2B" w:rsidRDefault="001F2C2B" w:rsidP="002F4882">
            <w:pPr>
              <w:rPr>
                <w:sz w:val="18"/>
                <w:szCs w:val="18"/>
              </w:rPr>
            </w:pPr>
          </w:p>
          <w:p w:rsidR="001F2C2B" w:rsidRDefault="001F2C2B" w:rsidP="002F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Brooks 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</w:p>
          <w:p w:rsidR="001F2C2B" w:rsidRDefault="001F2C2B" w:rsidP="002F4882">
            <w:pPr>
              <w:rPr>
                <w:sz w:val="18"/>
                <w:szCs w:val="18"/>
              </w:rPr>
            </w:pPr>
          </w:p>
          <w:p w:rsidR="001F2C2B" w:rsidRPr="00130CE7" w:rsidRDefault="001F2C2B" w:rsidP="002F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1.3, 2.1, 2.2</w:t>
            </w:r>
          </w:p>
        </w:tc>
        <w:tc>
          <w:tcPr>
            <w:tcW w:w="1607" w:type="dxa"/>
          </w:tcPr>
          <w:p w:rsidR="00017CAB" w:rsidRPr="002C1AB9" w:rsidRDefault="00017CAB" w:rsidP="00364634">
            <w:pPr>
              <w:rPr>
                <w:b/>
                <w:bCs/>
              </w:rPr>
            </w:pPr>
            <w:r w:rsidRPr="00364634">
              <w:rPr>
                <w:b/>
                <w:bCs/>
                <w:sz w:val="18"/>
                <w:szCs w:val="18"/>
              </w:rPr>
              <w:t>Goal 1: The Meijer Honors College will more fully develop a nurturing living/learning environment</w:t>
            </w:r>
            <w:r>
              <w:rPr>
                <w:b/>
                <w:bCs/>
                <w:sz w:val="18"/>
                <w:szCs w:val="18"/>
              </w:rPr>
              <w:t xml:space="preserve"> by fostering interconnections amongst students, staff, and faculty</w:t>
            </w:r>
            <w:r w:rsidRPr="00DF424F">
              <w:rPr>
                <w:b/>
                <w:bCs/>
              </w:rPr>
              <w:t>.</w:t>
            </w:r>
          </w:p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130CE7" w:rsidRDefault="00017CAB" w:rsidP="00562706">
            <w:pPr>
              <w:rPr>
                <w:sz w:val="18"/>
                <w:szCs w:val="18"/>
              </w:rPr>
            </w:pPr>
            <w:r w:rsidRPr="00130CE7"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30CE7">
              <w:rPr>
                <w:sz w:val="18"/>
                <w:szCs w:val="18"/>
              </w:rPr>
              <w:t xml:space="preserve"> </w:t>
            </w:r>
            <w:r w:rsidRPr="00E10577">
              <w:rPr>
                <w:sz w:val="18"/>
                <w:szCs w:val="18"/>
              </w:rPr>
              <w:t xml:space="preserve">By 2015, Honors Community Council will sponsor </w:t>
            </w:r>
            <w:proofErr w:type="gramStart"/>
            <w:r w:rsidRPr="00E10577">
              <w:rPr>
                <w:sz w:val="18"/>
                <w:szCs w:val="18"/>
              </w:rPr>
              <w:t>6 academic events/year,</w:t>
            </w:r>
            <w:proofErr w:type="gramEnd"/>
            <w:r w:rsidRPr="00E10577">
              <w:rPr>
                <w:sz w:val="18"/>
                <w:szCs w:val="18"/>
              </w:rPr>
              <w:t xml:space="preserve"> and will be involved in planning and promoting the Meijer Lecture Series.</w:t>
            </w:r>
          </w:p>
        </w:tc>
        <w:tc>
          <w:tcPr>
            <w:tcW w:w="1250" w:type="dxa"/>
          </w:tcPr>
          <w:p w:rsidR="00017CAB" w:rsidRPr="00130CE7" w:rsidRDefault="00017CAB" w:rsidP="0056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8" w:type="dxa"/>
          </w:tcPr>
          <w:p w:rsidR="00017CAB" w:rsidRPr="00130CE7" w:rsidRDefault="00017CAB" w:rsidP="0056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161" w:type="dxa"/>
          </w:tcPr>
          <w:p w:rsidR="00017CAB" w:rsidRDefault="00017CAB" w:rsidP="0056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Default="00017CAB" w:rsidP="00562706">
            <w:pPr>
              <w:rPr>
                <w:sz w:val="18"/>
                <w:szCs w:val="18"/>
              </w:rPr>
            </w:pPr>
          </w:p>
          <w:p w:rsidR="00017CAB" w:rsidRPr="00130CE7" w:rsidRDefault="00017CAB" w:rsidP="0056270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017CAB" w:rsidRPr="00130CE7" w:rsidRDefault="00017CAB" w:rsidP="00562706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130CE7" w:rsidRDefault="00017CAB" w:rsidP="0056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Staff, faculty, and HCC</w:t>
            </w:r>
          </w:p>
        </w:tc>
        <w:tc>
          <w:tcPr>
            <w:tcW w:w="1071" w:type="dxa"/>
          </w:tcPr>
          <w:p w:rsidR="00017CAB" w:rsidRPr="007D4C7C" w:rsidRDefault="00017CAB" w:rsidP="008702FD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17CAB" w:rsidRPr="008D12D1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 w:rsidTr="000B3DA1">
        <w:trPr>
          <w:trHeight w:val="1112"/>
        </w:trPr>
        <w:tc>
          <w:tcPr>
            <w:tcW w:w="1161" w:type="dxa"/>
          </w:tcPr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1F2C2B" w:rsidP="001F2C2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160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E10577" w:rsidRDefault="00017CAB" w:rsidP="00E10577">
            <w:pPr>
              <w:rPr>
                <w:sz w:val="18"/>
                <w:szCs w:val="18"/>
              </w:rPr>
            </w:pPr>
            <w:r w:rsidRPr="00E10577"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10577">
              <w:rPr>
                <w:sz w:val="18"/>
                <w:szCs w:val="18"/>
              </w:rPr>
              <w:t xml:space="preserve"> By 2013, 20% of freshman courses will participate in honors-wide co-curricular activities (not just outside activities created for specific courses).</w:t>
            </w:r>
          </w:p>
          <w:p w:rsidR="00017CAB" w:rsidRPr="00E10577" w:rsidRDefault="00017CAB" w:rsidP="002F4882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17CAB" w:rsidRPr="00130CE7" w:rsidRDefault="00017CAB" w:rsidP="00130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518" w:type="dxa"/>
          </w:tcPr>
          <w:p w:rsidR="00017CAB" w:rsidRPr="00130CE7" w:rsidRDefault="00017CAB" w:rsidP="00153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 or less</w:t>
            </w:r>
          </w:p>
          <w:p w:rsidR="00017CAB" w:rsidRPr="00130CE7" w:rsidRDefault="00017CAB" w:rsidP="002A4785">
            <w:pPr>
              <w:jc w:val="both"/>
              <w:rPr>
                <w:sz w:val="18"/>
                <w:szCs w:val="18"/>
              </w:rPr>
            </w:pPr>
          </w:p>
          <w:p w:rsidR="00017CAB" w:rsidRPr="00130CE7" w:rsidRDefault="00017CAB" w:rsidP="002A47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17CAB" w:rsidRPr="00130CE7" w:rsidRDefault="00017CAB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875" w:type="dxa"/>
          </w:tcPr>
          <w:p w:rsidR="00017CAB" w:rsidRPr="00130CE7" w:rsidRDefault="00017CAB" w:rsidP="008A5D4B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130CE7" w:rsidRDefault="00017C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3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 w:rsidTr="000B3DA1">
        <w:trPr>
          <w:trHeight w:val="1112"/>
        </w:trPr>
        <w:tc>
          <w:tcPr>
            <w:tcW w:w="1161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1F2C2B" w:rsidP="001F2C2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160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E10577" w:rsidRDefault="00017CAB" w:rsidP="00E105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1.3 </w:t>
            </w:r>
            <w:r w:rsidRPr="00AF42BE">
              <w:rPr>
                <w:sz w:val="18"/>
                <w:szCs w:val="18"/>
              </w:rPr>
              <w:t>By 2013, 20% of Honors students will attend formal and/or informal sessions for a Meijer Lecture.</w:t>
            </w:r>
          </w:p>
        </w:tc>
        <w:tc>
          <w:tcPr>
            <w:tcW w:w="1250" w:type="dxa"/>
          </w:tcPr>
          <w:p w:rsidR="00017CAB" w:rsidRDefault="00017CAB" w:rsidP="00130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518" w:type="dxa"/>
          </w:tcPr>
          <w:p w:rsidR="00017CAB" w:rsidRDefault="00017CAB" w:rsidP="00153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 held yet.</w:t>
            </w:r>
          </w:p>
        </w:tc>
        <w:tc>
          <w:tcPr>
            <w:tcW w:w="1161" w:type="dxa"/>
          </w:tcPr>
          <w:p w:rsidR="00017CAB" w:rsidRPr="00130CE7" w:rsidRDefault="00017CAB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875" w:type="dxa"/>
          </w:tcPr>
          <w:p w:rsidR="00017CAB" w:rsidRPr="00130CE7" w:rsidRDefault="00017CAB" w:rsidP="008A5D4B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130CE7" w:rsidRDefault="00017C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3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 w:rsidTr="000B3DA1">
        <w:trPr>
          <w:trHeight w:val="1112"/>
        </w:trPr>
        <w:tc>
          <w:tcPr>
            <w:tcW w:w="1161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E10577" w:rsidRDefault="00017CAB" w:rsidP="00E105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1.4 </w:t>
            </w:r>
            <w:r w:rsidRPr="00AF42BE">
              <w:rPr>
                <w:sz w:val="18"/>
                <w:szCs w:val="18"/>
              </w:rPr>
              <w:t>By 2013, the mentor program will have more effective selection, training, and accountability process.</w:t>
            </w:r>
          </w:p>
        </w:tc>
        <w:tc>
          <w:tcPr>
            <w:tcW w:w="1250" w:type="dxa"/>
          </w:tcPr>
          <w:p w:rsidR="00017CAB" w:rsidRDefault="00017CAB" w:rsidP="00130CE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Default="00017CAB" w:rsidP="001532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17CAB" w:rsidRPr="00130CE7" w:rsidRDefault="00017CAB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875" w:type="dxa"/>
          </w:tcPr>
          <w:p w:rsidR="00017CAB" w:rsidRPr="00130CE7" w:rsidRDefault="00017CAB" w:rsidP="008A5D4B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130CE7" w:rsidRDefault="00017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Shawn Clark</w:t>
            </w:r>
          </w:p>
        </w:tc>
        <w:tc>
          <w:tcPr>
            <w:tcW w:w="1071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3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 w:rsidTr="000B3DA1">
        <w:trPr>
          <w:trHeight w:val="1112"/>
        </w:trPr>
        <w:tc>
          <w:tcPr>
            <w:tcW w:w="1161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77323E" w:rsidP="007732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60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E10577" w:rsidRDefault="00017CAB" w:rsidP="00E105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1.5 </w:t>
            </w:r>
            <w:r w:rsidRPr="000B3DA1">
              <w:rPr>
                <w:sz w:val="18"/>
                <w:szCs w:val="18"/>
              </w:rPr>
              <w:t>Grow fulltime permanent faculty to 6 by 2011 and residential faculty to 12 by 2015.</w:t>
            </w:r>
          </w:p>
        </w:tc>
        <w:tc>
          <w:tcPr>
            <w:tcW w:w="1250" w:type="dxa"/>
          </w:tcPr>
          <w:p w:rsidR="00017CAB" w:rsidRDefault="00017CAB" w:rsidP="00130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Permanent: 6</w:t>
            </w:r>
          </w:p>
          <w:p w:rsidR="00017CAB" w:rsidRDefault="00017CAB" w:rsidP="00130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Residential: 12</w:t>
            </w:r>
          </w:p>
        </w:tc>
        <w:tc>
          <w:tcPr>
            <w:tcW w:w="1518" w:type="dxa"/>
          </w:tcPr>
          <w:p w:rsidR="00017CAB" w:rsidRDefault="00017CAB" w:rsidP="00153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Permanent: 4</w:t>
            </w:r>
          </w:p>
          <w:p w:rsidR="00017CAB" w:rsidRDefault="00017CAB" w:rsidP="00153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Residential: 6</w:t>
            </w:r>
          </w:p>
        </w:tc>
        <w:tc>
          <w:tcPr>
            <w:tcW w:w="1161" w:type="dxa"/>
          </w:tcPr>
          <w:p w:rsidR="00017CAB" w:rsidRPr="00130CE7" w:rsidRDefault="00017CAB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75" w:type="dxa"/>
          </w:tcPr>
          <w:p w:rsidR="00017CAB" w:rsidRPr="00130CE7" w:rsidRDefault="00017CAB" w:rsidP="008A5D4B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130CE7" w:rsidRDefault="00017C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3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 w:rsidTr="000B3DA1">
        <w:trPr>
          <w:trHeight w:val="1112"/>
        </w:trPr>
        <w:tc>
          <w:tcPr>
            <w:tcW w:w="1161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77323E" w:rsidP="007732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60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0B3DA1" w:rsidRDefault="00017CAB" w:rsidP="000B3DA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1.6 </w:t>
            </w:r>
            <w:r w:rsidRPr="000B3DA1">
              <w:rPr>
                <w:sz w:val="18"/>
                <w:szCs w:val="18"/>
              </w:rPr>
              <w:t xml:space="preserve">By 2013, have 2-4 </w:t>
            </w:r>
            <w:proofErr w:type="gramStart"/>
            <w:r w:rsidRPr="000B3DA1">
              <w:rPr>
                <w:sz w:val="18"/>
                <w:szCs w:val="18"/>
              </w:rPr>
              <w:t>faculty</w:t>
            </w:r>
            <w:proofErr w:type="gramEnd"/>
            <w:r w:rsidRPr="000B3DA1">
              <w:rPr>
                <w:sz w:val="18"/>
                <w:szCs w:val="18"/>
              </w:rPr>
              <w:t xml:space="preserve"> regularly attending MEHA or NCHC annual conference.</w:t>
            </w:r>
          </w:p>
          <w:p w:rsidR="00017CAB" w:rsidRPr="00E10577" w:rsidRDefault="00017CAB" w:rsidP="00E105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:rsidR="00017CAB" w:rsidRDefault="00017CAB" w:rsidP="00130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1518" w:type="dxa"/>
          </w:tcPr>
          <w:p w:rsidR="00017CAB" w:rsidRDefault="00017CAB" w:rsidP="00153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1" w:type="dxa"/>
          </w:tcPr>
          <w:p w:rsidR="00017CAB" w:rsidRPr="00130CE7" w:rsidRDefault="00017CAB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875" w:type="dxa"/>
          </w:tcPr>
          <w:p w:rsidR="00017CAB" w:rsidRPr="00130CE7" w:rsidRDefault="00017CAB" w:rsidP="008A5D4B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130CE7" w:rsidRDefault="00017C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3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 w:rsidTr="000B3DA1">
        <w:trPr>
          <w:trHeight w:val="1112"/>
        </w:trPr>
        <w:tc>
          <w:tcPr>
            <w:tcW w:w="1161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77323E" w:rsidP="007732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60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0B3DA1" w:rsidRDefault="00017CAB" w:rsidP="000B3DA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</w:t>
            </w:r>
            <w:r w:rsidRPr="000B3DA1">
              <w:rPr>
                <w:b/>
                <w:bCs/>
                <w:sz w:val="18"/>
                <w:szCs w:val="18"/>
              </w:rPr>
              <w:t xml:space="preserve"> </w:t>
            </w:r>
            <w:r w:rsidRPr="000B3DA1">
              <w:rPr>
                <w:sz w:val="18"/>
                <w:szCs w:val="18"/>
              </w:rPr>
              <w:t xml:space="preserve">In Fall 2011, develop committee to nominate candidates for Meijer Endowed Chair and create structures/mechanisms for the chair to have maximum impact on students.  </w:t>
            </w:r>
          </w:p>
          <w:p w:rsidR="00017CAB" w:rsidRDefault="00017CAB" w:rsidP="000B3D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:rsidR="00017CAB" w:rsidRDefault="00017CAB" w:rsidP="00130CE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Default="00017CAB" w:rsidP="001532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17CAB" w:rsidRDefault="00017CAB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2011</w:t>
            </w:r>
          </w:p>
        </w:tc>
        <w:tc>
          <w:tcPr>
            <w:tcW w:w="1875" w:type="dxa"/>
          </w:tcPr>
          <w:p w:rsidR="00017CAB" w:rsidRPr="00130CE7" w:rsidRDefault="00017CAB" w:rsidP="008A5D4B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130CE7" w:rsidRDefault="00017C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3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 w:rsidTr="000B3DA1">
        <w:trPr>
          <w:trHeight w:val="1112"/>
        </w:trPr>
        <w:tc>
          <w:tcPr>
            <w:tcW w:w="1161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77323E" w:rsidP="007732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60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0B3DA1" w:rsidRDefault="00017CAB" w:rsidP="000B3DA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1.8</w:t>
            </w:r>
            <w:r w:rsidRPr="000B3DA1">
              <w:rPr>
                <w:b/>
                <w:bCs/>
                <w:sz w:val="18"/>
                <w:szCs w:val="18"/>
              </w:rPr>
              <w:t xml:space="preserve"> </w:t>
            </w:r>
            <w:r w:rsidRPr="000B3DA1">
              <w:rPr>
                <w:sz w:val="18"/>
                <w:szCs w:val="18"/>
              </w:rPr>
              <w:t>Have first Meijer Endowed Chair in place by Fall 2012.</w:t>
            </w:r>
          </w:p>
          <w:p w:rsidR="00017CAB" w:rsidRPr="000B3DA1" w:rsidRDefault="00017CAB" w:rsidP="000B3D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:rsidR="00017CAB" w:rsidRDefault="00017CAB" w:rsidP="00130CE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Default="00017CAB" w:rsidP="001532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17CAB" w:rsidRDefault="00017CAB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2012</w:t>
            </w:r>
          </w:p>
        </w:tc>
        <w:tc>
          <w:tcPr>
            <w:tcW w:w="1875" w:type="dxa"/>
          </w:tcPr>
          <w:p w:rsidR="00017CAB" w:rsidRPr="00130CE7" w:rsidRDefault="00017CAB" w:rsidP="008A5D4B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130CE7" w:rsidRDefault="00017C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3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 w:rsidTr="000B3DA1">
        <w:trPr>
          <w:trHeight w:val="1112"/>
        </w:trPr>
        <w:tc>
          <w:tcPr>
            <w:tcW w:w="1161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3D6660" w:rsidRDefault="00017CAB" w:rsidP="003D666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1.9 </w:t>
            </w:r>
            <w:r w:rsidRPr="003D6660">
              <w:rPr>
                <w:sz w:val="18"/>
                <w:szCs w:val="18"/>
              </w:rPr>
              <w:t xml:space="preserve">Develop a plan to work towards a more diverse student body in </w:t>
            </w:r>
            <w:proofErr w:type="gramStart"/>
            <w:r w:rsidRPr="003D6660">
              <w:rPr>
                <w:sz w:val="18"/>
                <w:szCs w:val="18"/>
              </w:rPr>
              <w:t>Honors,</w:t>
            </w:r>
            <w:proofErr w:type="gramEnd"/>
            <w:r w:rsidRPr="003D6660">
              <w:rPr>
                <w:sz w:val="18"/>
                <w:szCs w:val="18"/>
              </w:rPr>
              <w:t xml:space="preserve"> perhaps by partnering with high schools, attracting more transfer students, using Meijer First Generation Scholarship, etc.</w:t>
            </w:r>
          </w:p>
          <w:p w:rsidR="00017CAB" w:rsidRPr="003D6660" w:rsidRDefault="00017CAB" w:rsidP="003D66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:rsidR="00017CAB" w:rsidRPr="003D6660" w:rsidRDefault="00017CAB" w:rsidP="003D666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Default="00017CAB" w:rsidP="001532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017CAB" w:rsidRDefault="00017CAB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2015</w:t>
            </w:r>
          </w:p>
        </w:tc>
        <w:tc>
          <w:tcPr>
            <w:tcW w:w="1875" w:type="dxa"/>
          </w:tcPr>
          <w:p w:rsidR="00017CAB" w:rsidRPr="00130CE7" w:rsidRDefault="00017CAB" w:rsidP="008A5D4B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017CAB" w:rsidRPr="00130CE7" w:rsidRDefault="00017C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3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B3DA1" w:rsidRDefault="000B3DA1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p w:rsidR="00017CAB" w:rsidRDefault="00017CAB"/>
    <w:tbl>
      <w:tblPr>
        <w:tblW w:w="135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3"/>
        <w:gridCol w:w="1397"/>
        <w:gridCol w:w="1518"/>
        <w:gridCol w:w="1320"/>
        <w:gridCol w:w="1392"/>
        <w:gridCol w:w="1350"/>
        <w:gridCol w:w="1710"/>
        <w:gridCol w:w="1080"/>
        <w:gridCol w:w="1286"/>
        <w:gridCol w:w="1054"/>
      </w:tblGrid>
      <w:tr w:rsidR="00E707BA" w:rsidRPr="008D12D1">
        <w:tc>
          <w:tcPr>
            <w:tcW w:w="1393" w:type="dxa"/>
            <w:shd w:val="clear" w:color="auto" w:fill="D9D9D9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475BC">
              <w:rPr>
                <w:b/>
                <w:bCs/>
                <w:sz w:val="20"/>
                <w:szCs w:val="20"/>
              </w:rPr>
              <w:t>University Objective</w:t>
            </w:r>
          </w:p>
        </w:tc>
        <w:tc>
          <w:tcPr>
            <w:tcW w:w="1397" w:type="dxa"/>
            <w:shd w:val="clear" w:color="auto" w:fill="D9D9D9"/>
          </w:tcPr>
          <w:p w:rsidR="00E707BA" w:rsidRDefault="00E707BA" w:rsidP="00F363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A07B5">
              <w:rPr>
                <w:b/>
                <w:bCs/>
                <w:sz w:val="22"/>
                <w:szCs w:val="22"/>
              </w:rPr>
              <w:t xml:space="preserve">Meijer Honors </w:t>
            </w:r>
            <w:r>
              <w:rPr>
                <w:b/>
                <w:bCs/>
                <w:sz w:val="22"/>
                <w:szCs w:val="22"/>
              </w:rPr>
              <w:t>College</w:t>
            </w:r>
          </w:p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Goal</w:t>
            </w:r>
            <w:r w:rsidRPr="00CD4FD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shd w:val="clear" w:color="auto" w:fill="D9D9D9"/>
          </w:tcPr>
          <w:p w:rsidR="00E707BA" w:rsidRPr="008D12D1" w:rsidRDefault="009A07B5" w:rsidP="00E53221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Honors</w:t>
            </w:r>
            <w:r w:rsidR="00E707BA">
              <w:rPr>
                <w:b/>
                <w:bCs/>
                <w:sz w:val="22"/>
                <w:szCs w:val="22"/>
              </w:rPr>
              <w:t xml:space="preserve"> College</w:t>
            </w:r>
            <w:r w:rsidR="00E707BA" w:rsidRPr="00CD4FD7">
              <w:rPr>
                <w:b/>
                <w:bCs/>
                <w:sz w:val="22"/>
                <w:szCs w:val="22"/>
              </w:rPr>
              <w:t xml:space="preserve"> objective(s)</w:t>
            </w:r>
          </w:p>
        </w:tc>
        <w:tc>
          <w:tcPr>
            <w:tcW w:w="1320" w:type="dxa"/>
            <w:shd w:val="clear" w:color="auto" w:fill="D9D9D9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Metric</w:t>
            </w:r>
          </w:p>
        </w:tc>
        <w:tc>
          <w:tcPr>
            <w:tcW w:w="1392" w:type="dxa"/>
            <w:shd w:val="clear" w:color="auto" w:fill="D9D9D9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1350" w:type="dxa"/>
            <w:shd w:val="clear" w:color="auto" w:fill="D9D9D9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Time-frame</w:t>
            </w:r>
          </w:p>
        </w:tc>
        <w:tc>
          <w:tcPr>
            <w:tcW w:w="1710" w:type="dxa"/>
            <w:shd w:val="clear" w:color="auto" w:fill="D9D9D9"/>
          </w:tcPr>
          <w:p w:rsidR="00E707BA" w:rsidRPr="00CD4FD7" w:rsidRDefault="00E707BA" w:rsidP="00F46CE9">
            <w:pPr>
              <w:jc w:val="center"/>
              <w:rPr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Strategy(</w:t>
            </w:r>
            <w:proofErr w:type="spellStart"/>
            <w:r w:rsidRPr="00CD4FD7">
              <w:rPr>
                <w:b/>
                <w:bCs/>
                <w:sz w:val="22"/>
                <w:szCs w:val="22"/>
              </w:rPr>
              <w:t>ies</w:t>
            </w:r>
            <w:proofErr w:type="spellEnd"/>
            <w:r w:rsidRPr="00CD4FD7">
              <w:rPr>
                <w:b/>
                <w:bCs/>
                <w:sz w:val="22"/>
                <w:szCs w:val="22"/>
              </w:rPr>
              <w:t>)</w:t>
            </w:r>
          </w:p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Action(s)</w:t>
            </w:r>
          </w:p>
        </w:tc>
        <w:tc>
          <w:tcPr>
            <w:tcW w:w="1080" w:type="dxa"/>
            <w:shd w:val="clear" w:color="auto" w:fill="D9D9D9"/>
          </w:tcPr>
          <w:p w:rsidR="00E707BA" w:rsidRPr="008D12D1" w:rsidRDefault="00E707BA" w:rsidP="00DE2A20">
            <w:pPr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Responsible Person/Group</w:t>
            </w:r>
          </w:p>
        </w:tc>
        <w:tc>
          <w:tcPr>
            <w:tcW w:w="1286" w:type="dxa"/>
            <w:shd w:val="clear" w:color="auto" w:fill="D9D9D9"/>
          </w:tcPr>
          <w:p w:rsidR="00E707BA" w:rsidRPr="00CD4FD7" w:rsidRDefault="00E707BA" w:rsidP="00DE2A20">
            <w:pPr>
              <w:rPr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Resources</w:t>
            </w:r>
          </w:p>
          <w:p w:rsidR="00E707BA" w:rsidRPr="008D12D1" w:rsidRDefault="00E707BA" w:rsidP="00DE2A2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54" w:type="dxa"/>
            <w:shd w:val="clear" w:color="auto" w:fill="D9D9D9"/>
          </w:tcPr>
          <w:p w:rsidR="00E707BA" w:rsidRPr="008D12D1" w:rsidRDefault="00E707BA" w:rsidP="00DE2A2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4FD7">
              <w:rPr>
                <w:b/>
                <w:bCs/>
                <w:sz w:val="16"/>
                <w:szCs w:val="16"/>
              </w:rPr>
              <w:t>Status as of 1/4/10</w:t>
            </w:r>
          </w:p>
        </w:tc>
      </w:tr>
      <w:tr w:rsidR="00C62376" w:rsidRPr="008D12D1">
        <w:trPr>
          <w:trHeight w:val="7154"/>
        </w:trPr>
        <w:tc>
          <w:tcPr>
            <w:tcW w:w="1393" w:type="dxa"/>
          </w:tcPr>
          <w:p w:rsidR="0077323E" w:rsidRDefault="0077323E" w:rsidP="009A07B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C62376" w:rsidRDefault="00C62376" w:rsidP="009A07B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5CA"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</w:p>
          <w:p w:rsidR="001F2C2B" w:rsidRDefault="001F2C2B" w:rsidP="009A07B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C2B" w:rsidRDefault="001F2C2B" w:rsidP="009A07B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1F2C2B" w:rsidRDefault="001F2C2B" w:rsidP="009A07B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C2B" w:rsidRPr="00C225CA" w:rsidRDefault="001F2C2B" w:rsidP="009A07B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397" w:type="dxa"/>
          </w:tcPr>
          <w:p w:rsidR="00C62376" w:rsidRPr="009A07B5" w:rsidRDefault="00C62376" w:rsidP="009A07B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7B5">
              <w:rPr>
                <w:rFonts w:ascii="Times New Roman" w:hAnsi="Times New Roman" w:cs="Times New Roman"/>
                <w:b/>
                <w:sz w:val="18"/>
                <w:szCs w:val="18"/>
              </w:rPr>
              <w:t>Goal 2</w:t>
            </w:r>
            <w:r w:rsidRPr="009A07B5">
              <w:rPr>
                <w:rFonts w:ascii="Times New Roman" w:hAnsi="Times New Roman" w:cs="Times New Roman"/>
                <w:sz w:val="18"/>
                <w:szCs w:val="18"/>
              </w:rPr>
              <w:t>: The Meijer Honors College will increase student retention and promote excellence and student success (by increasing number of high impact practices each student participates in).</w:t>
            </w:r>
          </w:p>
          <w:p w:rsidR="00C62376" w:rsidRPr="008D12D1" w:rsidRDefault="00C62376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</w:tcPr>
          <w:p w:rsidR="00C62376" w:rsidRPr="00364634" w:rsidRDefault="00C62376" w:rsidP="00C623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364634">
              <w:rPr>
                <w:b/>
                <w:bCs/>
                <w:sz w:val="18"/>
                <w:szCs w:val="18"/>
              </w:rPr>
              <w:t>.1</w:t>
            </w:r>
            <w:r w:rsidRPr="00364634">
              <w:rPr>
                <w:sz w:val="18"/>
                <w:szCs w:val="18"/>
              </w:rPr>
              <w:t xml:space="preserve"> Grow Honors College active students by 10% by 2015.</w:t>
            </w:r>
          </w:p>
        </w:tc>
        <w:tc>
          <w:tcPr>
            <w:tcW w:w="1320" w:type="dxa"/>
          </w:tcPr>
          <w:p w:rsidR="00C62376" w:rsidRPr="008D12D1" w:rsidRDefault="00C62376" w:rsidP="00C623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1392" w:type="dxa"/>
          </w:tcPr>
          <w:p w:rsidR="00C62376" w:rsidRDefault="00C62376" w:rsidP="00C62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 (2009)</w:t>
            </w:r>
          </w:p>
          <w:p w:rsidR="00C62376" w:rsidRDefault="00C62376" w:rsidP="00C62376">
            <w:pPr>
              <w:rPr>
                <w:sz w:val="18"/>
                <w:szCs w:val="18"/>
              </w:rPr>
            </w:pPr>
          </w:p>
          <w:p w:rsidR="00C62376" w:rsidRDefault="00C62376" w:rsidP="00C62376">
            <w:pPr>
              <w:rPr>
                <w:sz w:val="18"/>
                <w:szCs w:val="18"/>
              </w:rPr>
            </w:pPr>
          </w:p>
          <w:p w:rsidR="00C62376" w:rsidRDefault="00C62376" w:rsidP="00C62376">
            <w:pPr>
              <w:rPr>
                <w:sz w:val="18"/>
                <w:szCs w:val="18"/>
              </w:rPr>
            </w:pPr>
          </w:p>
          <w:p w:rsidR="00C62376" w:rsidRDefault="00C62376" w:rsidP="00C62376">
            <w:pPr>
              <w:rPr>
                <w:sz w:val="18"/>
                <w:szCs w:val="18"/>
              </w:rPr>
            </w:pPr>
          </w:p>
          <w:p w:rsidR="00C62376" w:rsidRDefault="00C62376" w:rsidP="00C62376">
            <w:pPr>
              <w:rPr>
                <w:sz w:val="18"/>
                <w:szCs w:val="18"/>
              </w:rPr>
            </w:pPr>
          </w:p>
          <w:p w:rsidR="00C62376" w:rsidRDefault="00C62376" w:rsidP="00C62376">
            <w:pPr>
              <w:rPr>
                <w:sz w:val="18"/>
                <w:szCs w:val="18"/>
              </w:rPr>
            </w:pPr>
          </w:p>
          <w:p w:rsidR="00C62376" w:rsidRDefault="00C62376" w:rsidP="00C62376">
            <w:pPr>
              <w:rPr>
                <w:sz w:val="18"/>
                <w:szCs w:val="18"/>
              </w:rPr>
            </w:pPr>
          </w:p>
          <w:p w:rsidR="00C62376" w:rsidRDefault="00C62376" w:rsidP="00C62376">
            <w:pPr>
              <w:rPr>
                <w:sz w:val="18"/>
                <w:szCs w:val="18"/>
              </w:rPr>
            </w:pPr>
          </w:p>
          <w:p w:rsidR="00C62376" w:rsidRPr="008D12D1" w:rsidRDefault="00C62376" w:rsidP="00C6237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C62376" w:rsidRPr="008D12D1" w:rsidRDefault="00C62376" w:rsidP="00C623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710" w:type="dxa"/>
          </w:tcPr>
          <w:p w:rsidR="00C62376" w:rsidRDefault="00C62376" w:rsidP="00C62376">
            <w:pPr>
              <w:rPr>
                <w:sz w:val="18"/>
                <w:szCs w:val="18"/>
              </w:rPr>
            </w:pPr>
            <w:r w:rsidRPr="00130CE7">
              <w:rPr>
                <w:b/>
                <w:bCs/>
                <w:sz w:val="18"/>
                <w:szCs w:val="18"/>
              </w:rPr>
              <w:t>1.1.1</w:t>
            </w:r>
            <w:r w:rsidRPr="0013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Improve recruitment processes</w:t>
            </w:r>
          </w:p>
          <w:p w:rsidR="00C62376" w:rsidRDefault="00C62376" w:rsidP="00C62376">
            <w:pPr>
              <w:rPr>
                <w:sz w:val="18"/>
                <w:szCs w:val="18"/>
              </w:rPr>
            </w:pPr>
          </w:p>
          <w:p w:rsidR="00C62376" w:rsidRDefault="00C62376" w:rsidP="00C62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 Increase yield of applicants to 70% (from 65%)</w:t>
            </w:r>
          </w:p>
          <w:p w:rsidR="00C62376" w:rsidRDefault="00C62376" w:rsidP="00C62376">
            <w:pPr>
              <w:rPr>
                <w:sz w:val="18"/>
                <w:szCs w:val="18"/>
              </w:rPr>
            </w:pPr>
          </w:p>
          <w:p w:rsidR="00C62376" w:rsidRPr="00130CE7" w:rsidRDefault="00C62376" w:rsidP="00C62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 Increase retention (see 2.4)</w:t>
            </w:r>
          </w:p>
          <w:p w:rsidR="00C62376" w:rsidRPr="00130CE7" w:rsidRDefault="00C62376" w:rsidP="00C62376">
            <w:pPr>
              <w:rPr>
                <w:sz w:val="18"/>
                <w:szCs w:val="18"/>
              </w:rPr>
            </w:pPr>
          </w:p>
          <w:p w:rsidR="00C62376" w:rsidRPr="00130CE7" w:rsidRDefault="00C62376" w:rsidP="00C6237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62376" w:rsidRPr="00882856" w:rsidRDefault="00C62376" w:rsidP="00955CAD">
            <w:pPr>
              <w:tabs>
                <w:tab w:val="center" w:pos="468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C62376" w:rsidRPr="008D12D1" w:rsidRDefault="00C62376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4" w:type="dxa"/>
          </w:tcPr>
          <w:p w:rsidR="00C62376" w:rsidRDefault="00C6237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62376" w:rsidRDefault="00C6237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62376" w:rsidRDefault="00C6237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62376" w:rsidRDefault="00C6237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62376" w:rsidRPr="008D12D1" w:rsidRDefault="00C623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>
        <w:trPr>
          <w:trHeight w:val="7154"/>
        </w:trPr>
        <w:tc>
          <w:tcPr>
            <w:tcW w:w="1393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5CA"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C225CA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397" w:type="dxa"/>
          </w:tcPr>
          <w:p w:rsidR="00017CAB" w:rsidRPr="009A07B5" w:rsidRDefault="00017CAB" w:rsidP="009A07B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Pr="008D12D1" w:rsidRDefault="00017CAB" w:rsidP="005627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E475BC">
              <w:rPr>
                <w:b/>
                <w:bCs/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 xml:space="preserve"> </w:t>
            </w:r>
            <w:r w:rsidRPr="00951AC1">
              <w:rPr>
                <w:sz w:val="18"/>
                <w:szCs w:val="18"/>
              </w:rPr>
              <w:t>Increase internal transfers 50% by 2015.</w:t>
            </w:r>
          </w:p>
        </w:tc>
        <w:tc>
          <w:tcPr>
            <w:tcW w:w="1320" w:type="dxa"/>
          </w:tcPr>
          <w:p w:rsidR="00017CAB" w:rsidRPr="008D12D1" w:rsidRDefault="00017CAB" w:rsidP="005627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92" w:type="dxa"/>
          </w:tcPr>
          <w:p w:rsidR="00017CAB" w:rsidRPr="00130CE7" w:rsidRDefault="00017CAB" w:rsidP="0056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(2009)</w:t>
            </w:r>
          </w:p>
        </w:tc>
        <w:tc>
          <w:tcPr>
            <w:tcW w:w="1350" w:type="dxa"/>
          </w:tcPr>
          <w:p w:rsidR="00017CAB" w:rsidRPr="008D12D1" w:rsidRDefault="00017CAB" w:rsidP="004924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710" w:type="dxa"/>
          </w:tcPr>
          <w:p w:rsidR="00017CAB" w:rsidRPr="008D12D1" w:rsidRDefault="00017CAB" w:rsidP="004924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7CAB" w:rsidRPr="00130CE7" w:rsidRDefault="00017CAB" w:rsidP="00492449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4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>
        <w:tc>
          <w:tcPr>
            <w:tcW w:w="1393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5CA"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1F2C2B" w:rsidP="001F2C2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39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Pr="00E10577" w:rsidRDefault="00017CAB" w:rsidP="00C623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10577">
              <w:rPr>
                <w:b/>
                <w:sz w:val="18"/>
                <w:szCs w:val="18"/>
              </w:rPr>
              <w:t xml:space="preserve">.3 </w:t>
            </w:r>
            <w:r w:rsidRPr="00E10577">
              <w:rPr>
                <w:sz w:val="18"/>
                <w:szCs w:val="18"/>
              </w:rPr>
              <w:t>Increase external transfers 150% by 2015.</w:t>
            </w:r>
            <w:r>
              <w:t xml:space="preserve">  </w:t>
            </w:r>
          </w:p>
        </w:tc>
        <w:tc>
          <w:tcPr>
            <w:tcW w:w="1320" w:type="dxa"/>
          </w:tcPr>
          <w:p w:rsidR="00017CAB" w:rsidRPr="008D12D1" w:rsidRDefault="00017CAB" w:rsidP="00C623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392" w:type="dxa"/>
          </w:tcPr>
          <w:p w:rsidR="00017CAB" w:rsidRPr="008D12D1" w:rsidRDefault="00017CAB" w:rsidP="00C6237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 (2009)</w:t>
            </w:r>
          </w:p>
        </w:tc>
        <w:tc>
          <w:tcPr>
            <w:tcW w:w="1350" w:type="dxa"/>
          </w:tcPr>
          <w:p w:rsidR="00017CAB" w:rsidRPr="00E10577" w:rsidRDefault="00017CAB" w:rsidP="00C62376">
            <w:pPr>
              <w:rPr>
                <w:sz w:val="18"/>
                <w:szCs w:val="18"/>
              </w:rPr>
            </w:pPr>
            <w:r w:rsidRPr="00E10577">
              <w:rPr>
                <w:sz w:val="18"/>
                <w:szCs w:val="18"/>
              </w:rPr>
              <w:t>2015</w:t>
            </w:r>
          </w:p>
        </w:tc>
        <w:tc>
          <w:tcPr>
            <w:tcW w:w="1710" w:type="dxa"/>
          </w:tcPr>
          <w:p w:rsidR="00017CAB" w:rsidRPr="00E475BC" w:rsidRDefault="00017CAB" w:rsidP="00C6237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2.3.1</w:t>
            </w:r>
            <w:r>
              <w:rPr>
                <w:sz w:val="18"/>
                <w:szCs w:val="18"/>
              </w:rPr>
              <w:t xml:space="preserve"> Reach out to community colleges and create articulation agreements </w:t>
            </w:r>
          </w:p>
          <w:p w:rsidR="00017CAB" w:rsidRPr="008D12D1" w:rsidRDefault="00017CAB" w:rsidP="00C623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7CAB" w:rsidRDefault="00017CAB">
            <w:pPr>
              <w:tabs>
                <w:tab w:val="center" w:pos="4680"/>
                <w:tab w:val="right" w:pos="9360"/>
              </w:tabs>
              <w:rPr>
                <w:sz w:val="18"/>
                <w:szCs w:val="18"/>
              </w:rPr>
            </w:pPr>
            <w:r w:rsidRPr="00882856">
              <w:rPr>
                <w:sz w:val="18"/>
                <w:szCs w:val="18"/>
              </w:rPr>
              <w:t>Honors director and staff; faculty participants; student assistants</w:t>
            </w:r>
            <w:r>
              <w:rPr>
                <w:sz w:val="18"/>
                <w:szCs w:val="18"/>
              </w:rPr>
              <w:t xml:space="preserve"> </w:t>
            </w:r>
          </w:p>
          <w:p w:rsidR="00017CAB" w:rsidRDefault="00017CAB">
            <w:pPr>
              <w:tabs>
                <w:tab w:val="center" w:pos="4680"/>
                <w:tab w:val="right" w:pos="9360"/>
              </w:tabs>
              <w:rPr>
                <w:sz w:val="18"/>
                <w:szCs w:val="18"/>
              </w:rPr>
            </w:pPr>
          </w:p>
          <w:p w:rsidR="00017CAB" w:rsidRDefault="00017CAB">
            <w:pPr>
              <w:tabs>
                <w:tab w:val="center" w:pos="4680"/>
                <w:tab w:val="right" w:pos="9360"/>
              </w:tabs>
              <w:rPr>
                <w:sz w:val="18"/>
                <w:szCs w:val="18"/>
              </w:rPr>
            </w:pPr>
          </w:p>
          <w:p w:rsidR="00017CAB" w:rsidRDefault="00017CAB">
            <w:pPr>
              <w:tabs>
                <w:tab w:val="center" w:pos="4680"/>
                <w:tab w:val="right" w:pos="9360"/>
              </w:tabs>
              <w:rPr>
                <w:sz w:val="18"/>
                <w:szCs w:val="18"/>
              </w:rPr>
            </w:pPr>
          </w:p>
          <w:p w:rsidR="00017CAB" w:rsidRDefault="00017CAB">
            <w:pPr>
              <w:tabs>
                <w:tab w:val="center" w:pos="4680"/>
                <w:tab w:val="right" w:pos="9360"/>
              </w:tabs>
              <w:rPr>
                <w:sz w:val="18"/>
                <w:szCs w:val="18"/>
              </w:rPr>
            </w:pPr>
          </w:p>
          <w:p w:rsidR="00017CAB" w:rsidRPr="00B75B28" w:rsidRDefault="00017CAB">
            <w:pPr>
              <w:tabs>
                <w:tab w:val="center" w:pos="468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4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>
        <w:tc>
          <w:tcPr>
            <w:tcW w:w="1393" w:type="dxa"/>
          </w:tcPr>
          <w:p w:rsidR="0077323E" w:rsidRDefault="0077323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2.1- 2.5</w:t>
            </w:r>
          </w:p>
          <w:p w:rsidR="0077323E" w:rsidRDefault="0077323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FF757E" w:rsidP="00FF75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39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Pr="00C62376" w:rsidRDefault="00017CAB" w:rsidP="00C623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“The Scholars’ </w:t>
            </w:r>
            <w:r>
              <w:rPr>
                <w:sz w:val="18"/>
                <w:szCs w:val="18"/>
              </w:rPr>
              <w:lastRenderedPageBreak/>
              <w:t>Institute” piloted in Honors in the summer of 2010 will be assessed for effectiveness as a high impact practice increasing student success.</w:t>
            </w:r>
          </w:p>
        </w:tc>
        <w:tc>
          <w:tcPr>
            <w:tcW w:w="1320" w:type="dxa"/>
          </w:tcPr>
          <w:p w:rsidR="00017CAB" w:rsidRDefault="00017CAB" w:rsidP="00C623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2" w:type="dxa"/>
          </w:tcPr>
          <w:p w:rsidR="00017CAB" w:rsidRDefault="00017CAB" w:rsidP="00C6237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017CAB" w:rsidRPr="00E10577" w:rsidRDefault="00017CAB" w:rsidP="00C62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2011</w:t>
            </w:r>
          </w:p>
        </w:tc>
        <w:tc>
          <w:tcPr>
            <w:tcW w:w="1710" w:type="dxa"/>
          </w:tcPr>
          <w:p w:rsidR="00017CAB" w:rsidRPr="00017CAB" w:rsidRDefault="00017CAB" w:rsidP="00C62376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2.4.  </w:t>
            </w:r>
            <w:r>
              <w:rPr>
                <w:bCs/>
                <w:sz w:val="18"/>
                <w:szCs w:val="18"/>
              </w:rPr>
              <w:t>Assessment team</w:t>
            </w:r>
          </w:p>
        </w:tc>
        <w:tc>
          <w:tcPr>
            <w:tcW w:w="1080" w:type="dxa"/>
          </w:tcPr>
          <w:p w:rsidR="00017CAB" w:rsidRPr="00882856" w:rsidRDefault="00017CAB">
            <w:pPr>
              <w:tabs>
                <w:tab w:val="center" w:pos="468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Assessment </w:t>
            </w:r>
            <w:r>
              <w:rPr>
                <w:sz w:val="18"/>
                <w:szCs w:val="18"/>
              </w:rPr>
              <w:lastRenderedPageBreak/>
              <w:t>team</w:t>
            </w:r>
          </w:p>
        </w:tc>
        <w:tc>
          <w:tcPr>
            <w:tcW w:w="1286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4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>
        <w:tc>
          <w:tcPr>
            <w:tcW w:w="1393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2.1- 2.5</w:t>
            </w:r>
          </w:p>
          <w:p w:rsidR="0077323E" w:rsidRDefault="0077323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FF757E" w:rsidP="00FF75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39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Pr="00017CAB" w:rsidRDefault="00017CAB" w:rsidP="00C623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2. 4</w:t>
            </w:r>
            <w:r>
              <w:rPr>
                <w:sz w:val="18"/>
                <w:szCs w:val="18"/>
              </w:rPr>
              <w:t xml:space="preserve"> If the “Scholars’ Institute” proves to have increased student success in </w:t>
            </w:r>
            <w:proofErr w:type="gramStart"/>
            <w:r>
              <w:rPr>
                <w:sz w:val="18"/>
                <w:szCs w:val="18"/>
              </w:rPr>
              <w:t>Honors,</w:t>
            </w:r>
            <w:proofErr w:type="gramEnd"/>
            <w:r>
              <w:rPr>
                <w:sz w:val="18"/>
                <w:szCs w:val="18"/>
              </w:rPr>
              <w:t xml:space="preserve"> it will be honed and offered again.  If it continues to be successful, it will be offered each summer as an option for incoming freshmen.  </w:t>
            </w:r>
          </w:p>
        </w:tc>
        <w:tc>
          <w:tcPr>
            <w:tcW w:w="1320" w:type="dxa"/>
          </w:tcPr>
          <w:p w:rsidR="00017CAB" w:rsidRDefault="00017CAB" w:rsidP="00C6237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2" w:type="dxa"/>
          </w:tcPr>
          <w:p w:rsidR="00017CAB" w:rsidRDefault="00017CAB" w:rsidP="00C6237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017CAB" w:rsidRDefault="00017CAB" w:rsidP="00C62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2011, and each year following.</w:t>
            </w:r>
          </w:p>
        </w:tc>
        <w:tc>
          <w:tcPr>
            <w:tcW w:w="1710" w:type="dxa"/>
          </w:tcPr>
          <w:p w:rsidR="00017CAB" w:rsidRDefault="00017CAB" w:rsidP="00C623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17CAB" w:rsidRDefault="00017CAB">
            <w:pPr>
              <w:tabs>
                <w:tab w:val="center" w:pos="468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Honors director and staff; faculty participants; student assistants.</w:t>
            </w:r>
          </w:p>
        </w:tc>
        <w:tc>
          <w:tcPr>
            <w:tcW w:w="1286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4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>
        <w:tc>
          <w:tcPr>
            <w:tcW w:w="1393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2.1- 2.5</w:t>
            </w:r>
          </w:p>
          <w:p w:rsidR="0077323E" w:rsidRDefault="0077323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FF757E" w:rsidP="00FF75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39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Pr="008D12D1" w:rsidRDefault="00751D24" w:rsidP="002F48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017CAB">
              <w:rPr>
                <w:sz w:val="18"/>
                <w:szCs w:val="18"/>
              </w:rPr>
              <w:t xml:space="preserve"> </w:t>
            </w:r>
            <w:r w:rsidR="00017CAB" w:rsidRPr="00882856">
              <w:rPr>
                <w:sz w:val="18"/>
                <w:szCs w:val="18"/>
              </w:rPr>
              <w:t>Consult with other units of the university to help offer Scholars’ Institutes more widely</w:t>
            </w:r>
          </w:p>
        </w:tc>
        <w:tc>
          <w:tcPr>
            <w:tcW w:w="1320" w:type="dxa"/>
          </w:tcPr>
          <w:p w:rsidR="00017CAB" w:rsidRPr="008D12D1" w:rsidRDefault="00017CAB">
            <w:pPr>
              <w:rPr>
                <w:rFonts w:ascii="Calibri" w:hAnsi="Calibri" w:cs="Calibri"/>
                <w:sz w:val="18"/>
                <w:szCs w:val="18"/>
              </w:rPr>
            </w:pPr>
            <w:r w:rsidRPr="00C225CA">
              <w:rPr>
                <w:sz w:val="18"/>
                <w:szCs w:val="18"/>
              </w:rPr>
              <w:t>Two Scholars Institutes—one in Honors; one outside</w:t>
            </w:r>
          </w:p>
        </w:tc>
        <w:tc>
          <w:tcPr>
            <w:tcW w:w="1392" w:type="dxa"/>
          </w:tcPr>
          <w:p w:rsidR="00017CAB" w:rsidRDefault="00017CAB" w:rsidP="002F027F">
            <w:pPr>
              <w:rPr>
                <w:sz w:val="18"/>
                <w:szCs w:val="18"/>
              </w:rPr>
            </w:pPr>
          </w:p>
          <w:p w:rsidR="00017CAB" w:rsidRDefault="00017CAB" w:rsidP="002F02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17CAB" w:rsidRDefault="00017CAB" w:rsidP="002F02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17CAB" w:rsidRDefault="00017CAB" w:rsidP="002F02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17CAB" w:rsidRDefault="00017CAB" w:rsidP="002F027F">
            <w:pPr>
              <w:rPr>
                <w:b/>
                <w:bCs/>
                <w:sz w:val="18"/>
                <w:szCs w:val="18"/>
              </w:rPr>
            </w:pPr>
          </w:p>
          <w:p w:rsidR="00017CAB" w:rsidRPr="00BB0A23" w:rsidRDefault="00017CAB" w:rsidP="00C225C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17CAB" w:rsidRPr="008D12D1" w:rsidRDefault="00017CAB" w:rsidP="008A5D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Summer 2012</w:t>
            </w:r>
          </w:p>
        </w:tc>
        <w:tc>
          <w:tcPr>
            <w:tcW w:w="1710" w:type="dxa"/>
          </w:tcPr>
          <w:p w:rsidR="00017CAB" w:rsidRPr="00BB0A23" w:rsidRDefault="00017CAB" w:rsidP="008A5D4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17CAB" w:rsidRPr="003F1DD8" w:rsidRDefault="00017CAB">
            <w:pPr>
              <w:tabs>
                <w:tab w:val="center" w:pos="4680"/>
                <w:tab w:val="right" w:pos="9360"/>
              </w:tabs>
              <w:rPr>
                <w:sz w:val="18"/>
                <w:szCs w:val="18"/>
              </w:rPr>
            </w:pPr>
            <w:r w:rsidRPr="003F1DD8">
              <w:rPr>
                <w:sz w:val="18"/>
                <w:szCs w:val="18"/>
              </w:rPr>
              <w:t>Honors director; faculty participants; consultant Dan Apple; student assistants</w:t>
            </w:r>
          </w:p>
        </w:tc>
        <w:tc>
          <w:tcPr>
            <w:tcW w:w="1286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4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2.1- 2.5</w:t>
            </w:r>
          </w:p>
          <w:p w:rsidR="0077323E" w:rsidRDefault="0077323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F605D0" w:rsidRDefault="00FF757E" w:rsidP="00FF7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BB0A23" w:rsidRDefault="00017CAB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7D06AD" w:rsidRDefault="00751D24" w:rsidP="007D06AD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="00017CAB" w:rsidRPr="007D06AD">
              <w:rPr>
                <w:rFonts w:ascii="Times New Roman" w:hAnsi="Times New Roman" w:cs="Times New Roman"/>
                <w:sz w:val="18"/>
                <w:szCs w:val="18"/>
              </w:rPr>
              <w:t xml:space="preserve"> By 2015,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increase student retention by reducing</w:t>
            </w:r>
            <w:r w:rsidR="00017CAB" w:rsidRPr="007D06AD">
              <w:rPr>
                <w:rFonts w:ascii="Times New Roman" w:hAnsi="Times New Roman" w:cs="Times New Roman"/>
                <w:sz w:val="18"/>
                <w:szCs w:val="18"/>
              </w:rPr>
              <w:t xml:space="preserve"> % of freshmen who fall below 3.2 GPA first semester to 15% or less</w:t>
            </w:r>
          </w:p>
          <w:p w:rsidR="00017CAB" w:rsidRPr="00BB0A23" w:rsidRDefault="00017CAB" w:rsidP="00C225CA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BB0A23" w:rsidRDefault="00017CAB" w:rsidP="00C53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 or less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Default="00017CAB" w:rsidP="00B23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22-23%</w:t>
            </w:r>
          </w:p>
          <w:p w:rsidR="00017CAB" w:rsidRDefault="00017CAB" w:rsidP="00B235D6">
            <w:pPr>
              <w:rPr>
                <w:sz w:val="18"/>
                <w:szCs w:val="18"/>
              </w:rPr>
            </w:pPr>
          </w:p>
          <w:p w:rsidR="00017CAB" w:rsidRDefault="00017CAB" w:rsidP="00B235D6">
            <w:pPr>
              <w:rPr>
                <w:b/>
                <w:bCs/>
                <w:sz w:val="18"/>
                <w:szCs w:val="18"/>
              </w:rPr>
            </w:pPr>
          </w:p>
          <w:p w:rsidR="00017CAB" w:rsidRDefault="00017CAB" w:rsidP="00B235D6">
            <w:pPr>
              <w:rPr>
                <w:b/>
                <w:bCs/>
                <w:sz w:val="18"/>
                <w:szCs w:val="18"/>
              </w:rPr>
            </w:pPr>
          </w:p>
          <w:p w:rsidR="00017CAB" w:rsidRDefault="00017CAB" w:rsidP="00B235D6">
            <w:pPr>
              <w:rPr>
                <w:b/>
                <w:bCs/>
                <w:sz w:val="18"/>
                <w:szCs w:val="18"/>
              </w:rPr>
            </w:pPr>
          </w:p>
          <w:p w:rsidR="00017CAB" w:rsidRDefault="00017CAB" w:rsidP="00B235D6">
            <w:pPr>
              <w:rPr>
                <w:b/>
                <w:bCs/>
                <w:sz w:val="18"/>
                <w:szCs w:val="18"/>
              </w:rPr>
            </w:pPr>
          </w:p>
          <w:p w:rsidR="00017CAB" w:rsidRDefault="00017CAB" w:rsidP="00B235D6">
            <w:pPr>
              <w:rPr>
                <w:b/>
                <w:bCs/>
                <w:sz w:val="18"/>
                <w:szCs w:val="18"/>
              </w:rPr>
            </w:pPr>
          </w:p>
          <w:p w:rsidR="00017CAB" w:rsidRDefault="00017CAB" w:rsidP="00B235D6">
            <w:pPr>
              <w:rPr>
                <w:b/>
                <w:bCs/>
                <w:sz w:val="18"/>
                <w:szCs w:val="18"/>
              </w:rPr>
            </w:pPr>
          </w:p>
          <w:p w:rsidR="00017CAB" w:rsidRDefault="00017CAB" w:rsidP="00B235D6">
            <w:pPr>
              <w:rPr>
                <w:b/>
                <w:bCs/>
                <w:sz w:val="18"/>
                <w:szCs w:val="18"/>
              </w:rPr>
            </w:pPr>
          </w:p>
          <w:p w:rsidR="00017CAB" w:rsidRDefault="00017CAB" w:rsidP="00B235D6">
            <w:pPr>
              <w:rPr>
                <w:b/>
                <w:bCs/>
                <w:sz w:val="18"/>
                <w:szCs w:val="18"/>
              </w:rPr>
            </w:pPr>
          </w:p>
          <w:p w:rsidR="00017CAB" w:rsidRDefault="00017CAB" w:rsidP="00B235D6">
            <w:pPr>
              <w:rPr>
                <w:b/>
                <w:bCs/>
                <w:sz w:val="18"/>
                <w:szCs w:val="18"/>
              </w:rPr>
            </w:pPr>
          </w:p>
          <w:p w:rsidR="00017CAB" w:rsidRDefault="00017CAB" w:rsidP="00B235D6">
            <w:pPr>
              <w:rPr>
                <w:color w:val="FF0000"/>
                <w:sz w:val="18"/>
                <w:szCs w:val="18"/>
              </w:rPr>
            </w:pPr>
          </w:p>
          <w:p w:rsidR="00017CAB" w:rsidRPr="008D12D1" w:rsidRDefault="00017CAB" w:rsidP="002A47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BB0A23" w:rsidRDefault="00017CAB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8D12D1" w:rsidRDefault="00017CAB" w:rsidP="007D06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BB0A23" w:rsidRDefault="00017CAB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1D24" w:rsidRPr="008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3.4, 3.5</w:t>
            </w: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D24" w:rsidRPr="00F605D0" w:rsidRDefault="00FF757E" w:rsidP="001F2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1.4, 2.2, </w:t>
            </w:r>
            <w:r w:rsidR="001F2C2B">
              <w:rPr>
                <w:sz w:val="18"/>
                <w:szCs w:val="18"/>
              </w:rPr>
              <w:t>2.9, 4.2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1D24" w:rsidRPr="00BB0A23" w:rsidRDefault="00751D24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1D24" w:rsidRDefault="00751D24" w:rsidP="007D06AD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 Develop plan to incorporate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interships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practica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and/or other co-curricular experiences by 2015.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1D24" w:rsidRDefault="00751D24" w:rsidP="00C53C08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1D24" w:rsidRDefault="00751D24" w:rsidP="00B235D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1D24" w:rsidRDefault="00751D24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1D24" w:rsidRPr="008D12D1" w:rsidRDefault="00751D24" w:rsidP="007D06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51D24" w:rsidRPr="00BB0A23" w:rsidRDefault="00751D24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1D24" w:rsidRPr="008D12D1" w:rsidRDefault="00751D24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4" w:rsidRDefault="00751D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>
        <w:trPr>
          <w:trHeight w:val="1124"/>
        </w:trPr>
        <w:tc>
          <w:tcPr>
            <w:tcW w:w="1393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3.4, 3.5</w:t>
            </w: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FF757E" w:rsidP="001F2C2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1.4, 2.2, </w:t>
            </w:r>
            <w:r w:rsidR="001F2C2B">
              <w:rPr>
                <w:sz w:val="18"/>
                <w:szCs w:val="18"/>
              </w:rPr>
              <w:t>2.8</w:t>
            </w:r>
          </w:p>
        </w:tc>
        <w:tc>
          <w:tcPr>
            <w:tcW w:w="139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Pr="00BB0A23" w:rsidRDefault="00751D24" w:rsidP="00DE1C7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</w:t>
            </w:r>
            <w:r w:rsidR="00017CAB" w:rsidRPr="00BB0A23">
              <w:rPr>
                <w:sz w:val="18"/>
                <w:szCs w:val="18"/>
              </w:rPr>
              <w:t xml:space="preserve"> </w:t>
            </w:r>
            <w:r w:rsidR="00017CAB" w:rsidRPr="00DE1C75">
              <w:rPr>
                <w:sz w:val="18"/>
                <w:szCs w:val="18"/>
              </w:rPr>
              <w:t>40% of honors students study abroad by 2015</w:t>
            </w:r>
          </w:p>
        </w:tc>
        <w:tc>
          <w:tcPr>
            <w:tcW w:w="1320" w:type="dxa"/>
          </w:tcPr>
          <w:p w:rsidR="00017CAB" w:rsidRPr="00BB0A23" w:rsidRDefault="00017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1392" w:type="dxa"/>
          </w:tcPr>
          <w:p w:rsidR="00017CAB" w:rsidRPr="00BB0A23" w:rsidRDefault="00017CAB" w:rsidP="002A47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350" w:type="dxa"/>
          </w:tcPr>
          <w:p w:rsidR="00017CAB" w:rsidRPr="00BB0A23" w:rsidRDefault="00017CAB" w:rsidP="00B26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710" w:type="dxa"/>
          </w:tcPr>
          <w:p w:rsidR="00017CAB" w:rsidRPr="00BB0A23" w:rsidRDefault="00017CAB" w:rsidP="00DE1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more curricular options—international service learning; substitution for Civ. sequence; advising; promotional materials</w:t>
            </w:r>
          </w:p>
        </w:tc>
        <w:tc>
          <w:tcPr>
            <w:tcW w:w="1080" w:type="dxa"/>
          </w:tcPr>
          <w:p w:rsidR="00017CAB" w:rsidRPr="00BB0A23" w:rsidRDefault="00017CAB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017CAB" w:rsidRPr="00BB0A23" w:rsidRDefault="00017CAB" w:rsidP="008702FD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>
        <w:trPr>
          <w:trHeight w:val="1124"/>
        </w:trPr>
        <w:tc>
          <w:tcPr>
            <w:tcW w:w="1393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2.7, 3.4, 3.5</w:t>
            </w: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FF757E" w:rsidP="001F2C2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1.4, </w:t>
            </w:r>
            <w:r w:rsidR="001F2C2B">
              <w:rPr>
                <w:sz w:val="18"/>
                <w:szCs w:val="18"/>
              </w:rPr>
              <w:t xml:space="preserve">2.1, </w:t>
            </w:r>
            <w:r>
              <w:rPr>
                <w:sz w:val="18"/>
                <w:szCs w:val="18"/>
              </w:rPr>
              <w:t xml:space="preserve">2.2, </w:t>
            </w:r>
            <w:r w:rsidR="001F2C2B">
              <w:rPr>
                <w:sz w:val="18"/>
                <w:szCs w:val="18"/>
              </w:rPr>
              <w:t>2.3, 4.3</w:t>
            </w:r>
          </w:p>
        </w:tc>
        <w:tc>
          <w:tcPr>
            <w:tcW w:w="139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Pr="00DE1C75" w:rsidRDefault="00751D24" w:rsidP="00DE1C7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2.10 </w:t>
            </w:r>
            <w:r w:rsidR="00017CAB" w:rsidRPr="00DE1C75">
              <w:rPr>
                <w:rFonts w:ascii="Times New Roman" w:hAnsi="Times New Roman" w:cs="Times New Roman"/>
                <w:sz w:val="18"/>
                <w:szCs w:val="18"/>
              </w:rPr>
              <w:t>Build ongoing international service-learning Ghana trip with multiple sites and participants from at least several different majors/departments</w:t>
            </w:r>
          </w:p>
          <w:p w:rsidR="00017CAB" w:rsidRPr="00BB0A23" w:rsidRDefault="00017CAB" w:rsidP="00DE1C75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017CAB" w:rsidRPr="00BB0A23" w:rsidRDefault="00017CAB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017CAB" w:rsidRPr="00BB0A23" w:rsidRDefault="00017CAB" w:rsidP="002A47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17CAB" w:rsidRPr="00BB0A23" w:rsidRDefault="00017CAB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710" w:type="dxa"/>
          </w:tcPr>
          <w:p w:rsidR="00017CAB" w:rsidRPr="00BB0A23" w:rsidRDefault="00017CAB" w:rsidP="00B235D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17CAB" w:rsidRPr="00BB0A23" w:rsidRDefault="00017C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Janaan</w:t>
            </w:r>
            <w:proofErr w:type="spellEnd"/>
            <w:r>
              <w:rPr>
                <w:sz w:val="18"/>
                <w:szCs w:val="18"/>
              </w:rPr>
              <w:t xml:space="preserve"> Decker/Jeff Chamberlain/faculty</w:t>
            </w:r>
          </w:p>
        </w:tc>
        <w:tc>
          <w:tcPr>
            <w:tcW w:w="1286" w:type="dxa"/>
          </w:tcPr>
          <w:p w:rsidR="00017CAB" w:rsidRPr="00BB0A23" w:rsidRDefault="00017CAB" w:rsidP="008702FD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>
        <w:trPr>
          <w:trHeight w:val="1124"/>
        </w:trPr>
        <w:tc>
          <w:tcPr>
            <w:tcW w:w="1393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3.4, 3.5, 5.4</w:t>
            </w: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F605D0" w:rsidRDefault="001F2C2B" w:rsidP="001F2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FF757E">
              <w:rPr>
                <w:sz w:val="18"/>
                <w:szCs w:val="18"/>
              </w:rPr>
              <w:t>, 1.4, 2.2</w:t>
            </w:r>
          </w:p>
        </w:tc>
        <w:tc>
          <w:tcPr>
            <w:tcW w:w="139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Pr="00BB0A23" w:rsidRDefault="00751D24" w:rsidP="009135F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2.11</w:t>
            </w:r>
            <w:r w:rsidR="00017CAB">
              <w:rPr>
                <w:sz w:val="18"/>
                <w:szCs w:val="18"/>
              </w:rPr>
              <w:t xml:space="preserve"> </w:t>
            </w:r>
            <w:r w:rsidR="00017CAB" w:rsidRPr="009135F2">
              <w:rPr>
                <w:sz w:val="18"/>
                <w:szCs w:val="18"/>
              </w:rPr>
              <w:t>30% of honors students present research on or off campus by 2015</w:t>
            </w:r>
          </w:p>
        </w:tc>
        <w:tc>
          <w:tcPr>
            <w:tcW w:w="1320" w:type="dxa"/>
          </w:tcPr>
          <w:p w:rsidR="00017CAB" w:rsidRPr="00BB0A23" w:rsidRDefault="00017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392" w:type="dxa"/>
          </w:tcPr>
          <w:p w:rsidR="00017CAB" w:rsidRPr="00BB0A23" w:rsidRDefault="00017CAB" w:rsidP="002A47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12%</w:t>
            </w:r>
          </w:p>
        </w:tc>
        <w:tc>
          <w:tcPr>
            <w:tcW w:w="1350" w:type="dxa"/>
          </w:tcPr>
          <w:p w:rsidR="00017CAB" w:rsidRPr="00BB0A23" w:rsidRDefault="00017CAB" w:rsidP="00913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710" w:type="dxa"/>
          </w:tcPr>
          <w:p w:rsidR="00017CAB" w:rsidRPr="00BB0A23" w:rsidRDefault="00017CAB" w:rsidP="00B23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Freshmen paper competitions; emphasis on MEHA and Grand Rapids Honors Conferences; Emphasize in classes and senior projects</w:t>
            </w:r>
          </w:p>
        </w:tc>
        <w:tc>
          <w:tcPr>
            <w:tcW w:w="1080" w:type="dxa"/>
          </w:tcPr>
          <w:p w:rsidR="00017CAB" w:rsidRPr="00BB0A23" w:rsidRDefault="00017CAB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017CAB" w:rsidRPr="00BB0A23" w:rsidRDefault="00017CAB" w:rsidP="009135F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>
        <w:trPr>
          <w:trHeight w:val="1124"/>
        </w:trPr>
        <w:tc>
          <w:tcPr>
            <w:tcW w:w="1393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Brooks Obj.</w:t>
            </w: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F605D0" w:rsidRDefault="001F2C2B" w:rsidP="001F2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39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Pr="00F605D0" w:rsidRDefault="00751D24" w:rsidP="009135F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2.12</w:t>
            </w:r>
            <w:r w:rsidR="00017CAB" w:rsidRPr="00F605D0">
              <w:rPr>
                <w:sz w:val="18"/>
                <w:szCs w:val="18"/>
              </w:rPr>
              <w:t xml:space="preserve">  </w:t>
            </w:r>
            <w:r w:rsidR="00017CAB" w:rsidRPr="009135F2">
              <w:rPr>
                <w:sz w:val="18"/>
                <w:szCs w:val="18"/>
              </w:rPr>
              <w:t>15% of freshmen present at SSD or off-campus by 2015</w:t>
            </w:r>
          </w:p>
        </w:tc>
        <w:tc>
          <w:tcPr>
            <w:tcW w:w="1320" w:type="dxa"/>
          </w:tcPr>
          <w:p w:rsidR="00017CAB" w:rsidRPr="008D12D1" w:rsidRDefault="00017C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8%</w:t>
            </w:r>
          </w:p>
        </w:tc>
        <w:tc>
          <w:tcPr>
            <w:tcW w:w="1392" w:type="dxa"/>
          </w:tcPr>
          <w:p w:rsidR="00017CAB" w:rsidRPr="00F605D0" w:rsidRDefault="00017CAB" w:rsidP="002A47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1350" w:type="dxa"/>
          </w:tcPr>
          <w:p w:rsidR="00017CAB" w:rsidRPr="009135F2" w:rsidRDefault="00017CAB" w:rsidP="008A5D4B">
            <w:pPr>
              <w:rPr>
                <w:sz w:val="18"/>
                <w:szCs w:val="18"/>
              </w:rPr>
            </w:pPr>
            <w:r w:rsidRPr="009135F2">
              <w:rPr>
                <w:sz w:val="18"/>
                <w:szCs w:val="18"/>
              </w:rPr>
              <w:t>2015</w:t>
            </w:r>
          </w:p>
        </w:tc>
        <w:tc>
          <w:tcPr>
            <w:tcW w:w="1710" w:type="dxa"/>
          </w:tcPr>
          <w:p w:rsidR="00017CAB" w:rsidRPr="00F605D0" w:rsidRDefault="00017CAB" w:rsidP="00B23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Scholars’ Institute Emphasis; Freshmen paper competitions</w:t>
            </w:r>
          </w:p>
        </w:tc>
        <w:tc>
          <w:tcPr>
            <w:tcW w:w="1080" w:type="dxa"/>
          </w:tcPr>
          <w:p w:rsidR="00017CAB" w:rsidRPr="008D12D1" w:rsidRDefault="00017C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4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>
        <w:trPr>
          <w:trHeight w:val="1124"/>
        </w:trPr>
        <w:tc>
          <w:tcPr>
            <w:tcW w:w="1393" w:type="dxa"/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3.5.1</w:t>
            </w:r>
          </w:p>
          <w:p w:rsidR="0077323E" w:rsidRDefault="0077323E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1F2C2B" w:rsidRDefault="001F2C2B" w:rsidP="001F2C2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1F2C2B" w:rsidP="001F2C2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397" w:type="dxa"/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</w:tcPr>
          <w:p w:rsidR="00017CAB" w:rsidRPr="00F605D0" w:rsidRDefault="00751D24" w:rsidP="009135F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2.13</w:t>
            </w:r>
            <w:r w:rsidR="00017CAB" w:rsidRPr="00F605D0">
              <w:rPr>
                <w:sz w:val="18"/>
                <w:szCs w:val="18"/>
              </w:rPr>
              <w:t xml:space="preserve"> </w:t>
            </w:r>
            <w:r w:rsidR="00017CAB" w:rsidRPr="002B7FE4">
              <w:rPr>
                <w:sz w:val="18"/>
                <w:szCs w:val="18"/>
              </w:rPr>
              <w:t>20% of classes offer service-learning component by 2015</w:t>
            </w:r>
          </w:p>
        </w:tc>
        <w:tc>
          <w:tcPr>
            <w:tcW w:w="1320" w:type="dxa"/>
          </w:tcPr>
          <w:p w:rsidR="00017CAB" w:rsidRPr="008D12D1" w:rsidRDefault="00017C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1392" w:type="dxa"/>
          </w:tcPr>
          <w:p w:rsidR="00017CAB" w:rsidRPr="008D12D1" w:rsidRDefault="00017CAB" w:rsidP="002A47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10%</w:t>
            </w:r>
          </w:p>
        </w:tc>
        <w:tc>
          <w:tcPr>
            <w:tcW w:w="1350" w:type="dxa"/>
          </w:tcPr>
          <w:p w:rsidR="00017CAB" w:rsidRPr="008D12D1" w:rsidRDefault="00017CAB" w:rsidP="008A5D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710" w:type="dxa"/>
          </w:tcPr>
          <w:p w:rsidR="00017CAB" w:rsidRDefault="00017CAB" w:rsidP="00B23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Invite faculty who are already doing service learning to teach in Honors; encourage current faculty</w:t>
            </w:r>
          </w:p>
        </w:tc>
        <w:tc>
          <w:tcPr>
            <w:tcW w:w="1080" w:type="dxa"/>
          </w:tcPr>
          <w:p w:rsidR="00017CAB" w:rsidRPr="008D12D1" w:rsidRDefault="00017C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17CAB" w:rsidRPr="008D12D1" w:rsidRDefault="00017CAB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4" w:type="dxa"/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D63C0E" w:rsidRDefault="00D63C0E" w:rsidP="002F4882">
            <w:pPr>
              <w:rPr>
                <w:sz w:val="18"/>
                <w:szCs w:val="18"/>
              </w:rPr>
            </w:pPr>
            <w:r w:rsidRPr="00D63C0E">
              <w:rPr>
                <w:sz w:val="18"/>
                <w:szCs w:val="18"/>
              </w:rPr>
              <w:t>University</w:t>
            </w:r>
          </w:p>
          <w:p w:rsidR="00D63C0E" w:rsidRPr="008D12D1" w:rsidRDefault="00D63C0E" w:rsidP="002F4882">
            <w:pPr>
              <w:rPr>
                <w:rFonts w:ascii="Calibri" w:hAnsi="Calibri" w:cs="Calibri"/>
                <w:sz w:val="16"/>
                <w:szCs w:val="16"/>
              </w:rPr>
            </w:pPr>
            <w:r w:rsidRPr="00D63C0E">
              <w:rPr>
                <w:sz w:val="18"/>
                <w:szCs w:val="18"/>
              </w:rPr>
              <w:t>8.9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F605D0" w:rsidRDefault="00751D24" w:rsidP="00F8285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2.14</w:t>
            </w:r>
            <w:r w:rsidR="00017CAB" w:rsidRPr="00F605D0">
              <w:rPr>
                <w:sz w:val="18"/>
                <w:szCs w:val="18"/>
              </w:rPr>
              <w:t xml:space="preserve"> </w:t>
            </w:r>
            <w:r w:rsidR="00017CAB" w:rsidRPr="00456AD4">
              <w:rPr>
                <w:sz w:val="18"/>
                <w:szCs w:val="18"/>
              </w:rPr>
              <w:t>Have four honors students/year win nationally-competitive fellowships by 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Default="00017CAB" w:rsidP="002F0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17CAB" w:rsidRPr="008D12D1" w:rsidRDefault="00017CAB" w:rsidP="00CB30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F605D0" w:rsidRDefault="00017CAB" w:rsidP="007E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17CAB" w:rsidRPr="00F605D0" w:rsidRDefault="00017CAB" w:rsidP="007E79D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8D12D1" w:rsidRDefault="00017CAB" w:rsidP="008A5D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Default="00017CAB" w:rsidP="00F82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students to idea earlier—Orientation, information sessions, personal invitations, freshman seminar; work closely with fellowship advisor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B75B28" w:rsidRDefault="00017CAB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F605D0" w:rsidRDefault="00017CAB" w:rsidP="008702FD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AB" w:rsidRPr="008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3.4, 3.5</w:t>
            </w:r>
          </w:p>
          <w:p w:rsidR="0077323E" w:rsidRDefault="0077323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AB" w:rsidRPr="008D12D1" w:rsidRDefault="00FF757E" w:rsidP="00FF75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1.4, 2.2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8D12D1" w:rsidRDefault="00017CAB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F605D0" w:rsidRDefault="00751D24" w:rsidP="00F82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2.15</w:t>
            </w:r>
            <w:r w:rsidR="00017CAB">
              <w:rPr>
                <w:b/>
                <w:bCs/>
                <w:sz w:val="18"/>
                <w:szCs w:val="18"/>
              </w:rPr>
              <w:t xml:space="preserve"> </w:t>
            </w:r>
            <w:r w:rsidR="00017CAB" w:rsidRPr="00643FBA">
              <w:rPr>
                <w:sz w:val="18"/>
                <w:szCs w:val="18"/>
              </w:rPr>
              <w:t>Have 15% of courses interdisciplinary problem-based (preferably team-taught) by 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Default="00017CAB" w:rsidP="002F0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Default="00017CAB" w:rsidP="007E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Default="00017CAB" w:rsidP="008A5D4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Default="00017CAB" w:rsidP="00F8285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B75B28" w:rsidRDefault="00017CAB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CAB" w:rsidRPr="00F605D0" w:rsidRDefault="00017CAB" w:rsidP="008702FD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17CAB" w:rsidRDefault="00017CA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707BA" w:rsidRDefault="00E707BA"/>
    <w:p w:rsidR="00955CAD" w:rsidRDefault="00955CAD"/>
    <w:p w:rsidR="00955CAD" w:rsidRDefault="00955CAD"/>
    <w:p w:rsidR="00955CAD" w:rsidRDefault="00955CAD"/>
    <w:p w:rsidR="00955CAD" w:rsidRDefault="00955CAD"/>
    <w:p w:rsidR="00955CAD" w:rsidRDefault="00955CAD"/>
    <w:tbl>
      <w:tblPr>
        <w:tblW w:w="136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"/>
        <w:gridCol w:w="1068"/>
        <w:gridCol w:w="196"/>
        <w:gridCol w:w="1423"/>
        <w:gridCol w:w="106"/>
        <w:gridCol w:w="1333"/>
        <w:gridCol w:w="316"/>
        <w:gridCol w:w="944"/>
        <w:gridCol w:w="376"/>
        <w:gridCol w:w="1153"/>
        <w:gridCol w:w="287"/>
        <w:gridCol w:w="16"/>
        <w:gridCol w:w="1046"/>
        <w:gridCol w:w="108"/>
        <w:gridCol w:w="1781"/>
        <w:gridCol w:w="18"/>
        <w:gridCol w:w="1331"/>
        <w:gridCol w:w="18"/>
        <w:gridCol w:w="972"/>
        <w:gridCol w:w="108"/>
        <w:gridCol w:w="792"/>
        <w:gridCol w:w="108"/>
      </w:tblGrid>
      <w:tr w:rsidR="00E707BA" w:rsidRPr="008D12D1" w:rsidTr="00CE448A">
        <w:trPr>
          <w:gridAfter w:val="1"/>
          <w:wAfter w:w="108" w:type="dxa"/>
        </w:trPr>
        <w:tc>
          <w:tcPr>
            <w:tcW w:w="1176" w:type="dxa"/>
            <w:gridSpan w:val="2"/>
            <w:shd w:val="clear" w:color="auto" w:fill="BFBFBF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475BC">
              <w:rPr>
                <w:b/>
                <w:bCs/>
                <w:sz w:val="20"/>
                <w:szCs w:val="20"/>
              </w:rPr>
              <w:t>University Objective</w:t>
            </w:r>
          </w:p>
        </w:tc>
        <w:tc>
          <w:tcPr>
            <w:tcW w:w="1619" w:type="dxa"/>
            <w:gridSpan w:val="2"/>
            <w:shd w:val="clear" w:color="auto" w:fill="BFBFBF"/>
          </w:tcPr>
          <w:p w:rsidR="00E707BA" w:rsidRDefault="00643FBA" w:rsidP="00F363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Meijer Honors</w:t>
            </w:r>
            <w:r w:rsidR="00E707BA">
              <w:rPr>
                <w:b/>
                <w:bCs/>
                <w:sz w:val="22"/>
                <w:szCs w:val="22"/>
              </w:rPr>
              <w:t xml:space="preserve"> College</w:t>
            </w:r>
          </w:p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Goal</w:t>
            </w:r>
            <w:r w:rsidRPr="00CD4FD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BFBFBF"/>
          </w:tcPr>
          <w:p w:rsidR="00E707BA" w:rsidRPr="008D12D1" w:rsidRDefault="00643FBA" w:rsidP="00E53221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Honors</w:t>
            </w:r>
            <w:r w:rsidR="00E707BA">
              <w:rPr>
                <w:b/>
                <w:bCs/>
                <w:sz w:val="22"/>
                <w:szCs w:val="22"/>
              </w:rPr>
              <w:t xml:space="preserve"> College</w:t>
            </w:r>
            <w:r w:rsidR="00E707BA" w:rsidRPr="00CD4FD7">
              <w:rPr>
                <w:b/>
                <w:bCs/>
                <w:sz w:val="22"/>
                <w:szCs w:val="22"/>
              </w:rPr>
              <w:t xml:space="preserve"> objective(s)</w:t>
            </w:r>
          </w:p>
        </w:tc>
        <w:tc>
          <w:tcPr>
            <w:tcW w:w="1260" w:type="dxa"/>
            <w:gridSpan w:val="2"/>
            <w:shd w:val="clear" w:color="auto" w:fill="BFBFBF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Metric</w:t>
            </w:r>
          </w:p>
        </w:tc>
        <w:tc>
          <w:tcPr>
            <w:tcW w:w="1529" w:type="dxa"/>
            <w:gridSpan w:val="2"/>
            <w:shd w:val="clear" w:color="auto" w:fill="BFBFBF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1349" w:type="dxa"/>
            <w:gridSpan w:val="3"/>
            <w:shd w:val="clear" w:color="auto" w:fill="BFBFBF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Time-frame</w:t>
            </w:r>
          </w:p>
        </w:tc>
        <w:tc>
          <w:tcPr>
            <w:tcW w:w="1889" w:type="dxa"/>
            <w:gridSpan w:val="2"/>
            <w:shd w:val="clear" w:color="auto" w:fill="BFBFBF"/>
          </w:tcPr>
          <w:p w:rsidR="00E707BA" w:rsidRPr="00CD4FD7" w:rsidRDefault="00E707BA" w:rsidP="00F46CE9">
            <w:pPr>
              <w:jc w:val="center"/>
              <w:rPr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Strategy(</w:t>
            </w:r>
            <w:proofErr w:type="spellStart"/>
            <w:r w:rsidRPr="00CD4FD7">
              <w:rPr>
                <w:b/>
                <w:bCs/>
                <w:sz w:val="22"/>
                <w:szCs w:val="22"/>
              </w:rPr>
              <w:t>ies</w:t>
            </w:r>
            <w:proofErr w:type="spellEnd"/>
            <w:r w:rsidRPr="00CD4FD7">
              <w:rPr>
                <w:b/>
                <w:bCs/>
                <w:sz w:val="22"/>
                <w:szCs w:val="22"/>
              </w:rPr>
              <w:t>)</w:t>
            </w:r>
          </w:p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Action(s)</w:t>
            </w:r>
          </w:p>
        </w:tc>
        <w:tc>
          <w:tcPr>
            <w:tcW w:w="1349" w:type="dxa"/>
            <w:gridSpan w:val="2"/>
            <w:shd w:val="clear" w:color="auto" w:fill="BFBFBF"/>
          </w:tcPr>
          <w:p w:rsidR="00E707BA" w:rsidRPr="008D12D1" w:rsidRDefault="00E707BA" w:rsidP="00DE2A20">
            <w:pPr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z w:val="22"/>
                <w:szCs w:val="22"/>
              </w:rPr>
              <w:t xml:space="preserve">sponsible Person / </w:t>
            </w:r>
            <w:r w:rsidRPr="00CD4FD7">
              <w:rPr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990" w:type="dxa"/>
            <w:gridSpan w:val="2"/>
            <w:shd w:val="clear" w:color="auto" w:fill="BFBFBF"/>
          </w:tcPr>
          <w:p w:rsidR="00E707BA" w:rsidRPr="00CD4FD7" w:rsidRDefault="00E707BA" w:rsidP="00DE2A20">
            <w:pPr>
              <w:rPr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Resources</w:t>
            </w:r>
          </w:p>
          <w:p w:rsidR="00E707BA" w:rsidRPr="008D12D1" w:rsidRDefault="00E707BA" w:rsidP="00DE2A2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00" w:type="dxa"/>
            <w:gridSpan w:val="2"/>
            <w:shd w:val="clear" w:color="auto" w:fill="BFBFBF"/>
          </w:tcPr>
          <w:p w:rsidR="00E707BA" w:rsidRPr="008D12D1" w:rsidRDefault="00E707BA" w:rsidP="00DE2A2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4FD7">
              <w:rPr>
                <w:b/>
                <w:bCs/>
                <w:sz w:val="16"/>
                <w:szCs w:val="16"/>
              </w:rPr>
              <w:t>Status as of 1/4/10</w:t>
            </w:r>
          </w:p>
        </w:tc>
      </w:tr>
      <w:tr w:rsidR="00E707BA" w:rsidRPr="008D12D1" w:rsidTr="00CE448A">
        <w:trPr>
          <w:gridAfter w:val="1"/>
          <w:wAfter w:w="108" w:type="dxa"/>
        </w:trPr>
        <w:tc>
          <w:tcPr>
            <w:tcW w:w="1176" w:type="dxa"/>
            <w:gridSpan w:val="2"/>
          </w:tcPr>
          <w:p w:rsidR="00773F8E" w:rsidRDefault="00773F8E" w:rsidP="00773F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773F8E" w:rsidRDefault="00773F8E" w:rsidP="00773F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5.4, 6.4, 8.1.3</w:t>
            </w:r>
          </w:p>
          <w:p w:rsidR="00773F8E" w:rsidRDefault="00773F8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7BA" w:rsidRPr="008D12D1" w:rsidRDefault="00FF757E" w:rsidP="00FF757E">
            <w:pPr>
              <w:ind w:left="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1619" w:type="dxa"/>
            <w:gridSpan w:val="2"/>
          </w:tcPr>
          <w:p w:rsidR="00E707BA" w:rsidRPr="00643FBA" w:rsidRDefault="00E707BA" w:rsidP="002F4882">
            <w:pPr>
              <w:rPr>
                <w:bCs/>
                <w:sz w:val="18"/>
                <w:szCs w:val="18"/>
              </w:rPr>
            </w:pPr>
            <w:r w:rsidRPr="00B75B28">
              <w:rPr>
                <w:b/>
                <w:bCs/>
                <w:sz w:val="18"/>
                <w:szCs w:val="18"/>
              </w:rPr>
              <w:t>Goal 3</w:t>
            </w:r>
            <w:r w:rsidR="00643FBA">
              <w:rPr>
                <w:b/>
                <w:bCs/>
                <w:sz w:val="18"/>
                <w:szCs w:val="18"/>
              </w:rPr>
              <w:t xml:space="preserve"> </w:t>
            </w:r>
            <w:r w:rsidR="00643FBA" w:rsidRPr="00643FBA">
              <w:rPr>
                <w:sz w:val="18"/>
                <w:szCs w:val="18"/>
              </w:rPr>
              <w:t>Participate in and contribute to interdisciplinary initiatives in the Brooks College of Interdisciplinary Studies and the university as a whole</w:t>
            </w:r>
          </w:p>
          <w:p w:rsidR="00E707BA" w:rsidRPr="008D12D1" w:rsidRDefault="00E707BA" w:rsidP="00643F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643FBA" w:rsidRPr="00643FBA" w:rsidRDefault="00643FBA" w:rsidP="00643FB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FBA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3FBA">
              <w:rPr>
                <w:rFonts w:ascii="Times New Roman" w:hAnsi="Times New Roman" w:cs="Times New Roman"/>
                <w:sz w:val="18"/>
                <w:szCs w:val="18"/>
              </w:rPr>
              <w:t>Meijer endowed faculty member take leadership role in Center for Creative Inquiry (or whatever it is called)</w:t>
            </w:r>
          </w:p>
          <w:p w:rsidR="00E707BA" w:rsidRPr="00643FBA" w:rsidRDefault="00E707BA" w:rsidP="00643FBA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E707BA" w:rsidRPr="008D12D1" w:rsidRDefault="00E707BA" w:rsidP="00643F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9" w:type="dxa"/>
            <w:gridSpan w:val="2"/>
          </w:tcPr>
          <w:p w:rsidR="00E707BA" w:rsidRPr="008D12D1" w:rsidRDefault="00E707BA" w:rsidP="002A47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gridSpan w:val="3"/>
          </w:tcPr>
          <w:p w:rsidR="00E707BA" w:rsidRPr="00C54C5B" w:rsidRDefault="00643FBA" w:rsidP="00C54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E707BA" w:rsidRPr="008D12D1" w:rsidRDefault="00E707BA" w:rsidP="008A5D4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9" w:type="dxa"/>
            <w:gridSpan w:val="2"/>
          </w:tcPr>
          <w:p w:rsidR="00E707BA" w:rsidRDefault="00E707BA" w:rsidP="007045BB">
            <w:pPr>
              <w:rPr>
                <w:sz w:val="18"/>
                <w:szCs w:val="18"/>
              </w:rPr>
            </w:pPr>
          </w:p>
          <w:p w:rsidR="00E707BA" w:rsidRDefault="00E707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E707BA" w:rsidRPr="00B75B28" w:rsidRDefault="00E707B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E707BA" w:rsidRPr="00B75B28" w:rsidRDefault="00E707BA" w:rsidP="008702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707BA" w:rsidRPr="00B75B28" w:rsidRDefault="00E707BA">
            <w:pPr>
              <w:rPr>
                <w:sz w:val="18"/>
                <w:szCs w:val="18"/>
              </w:rPr>
            </w:pPr>
          </w:p>
          <w:p w:rsidR="00E707BA" w:rsidRPr="00B75B28" w:rsidRDefault="00E707BA">
            <w:pPr>
              <w:rPr>
                <w:sz w:val="18"/>
                <w:szCs w:val="18"/>
              </w:rPr>
            </w:pPr>
          </w:p>
          <w:p w:rsidR="00E707BA" w:rsidRPr="00B75B28" w:rsidRDefault="00E707BA">
            <w:pPr>
              <w:rPr>
                <w:sz w:val="18"/>
                <w:szCs w:val="18"/>
              </w:rPr>
            </w:pPr>
          </w:p>
          <w:p w:rsidR="00E707BA" w:rsidRPr="00B75B28" w:rsidRDefault="00E707BA">
            <w:pPr>
              <w:rPr>
                <w:sz w:val="18"/>
                <w:szCs w:val="18"/>
              </w:rPr>
            </w:pPr>
          </w:p>
        </w:tc>
      </w:tr>
      <w:tr w:rsidR="00E707BA" w:rsidRPr="008D12D1" w:rsidTr="00CE448A">
        <w:trPr>
          <w:gridAfter w:val="1"/>
          <w:wAfter w:w="108" w:type="dxa"/>
        </w:trPr>
        <w:tc>
          <w:tcPr>
            <w:tcW w:w="1176" w:type="dxa"/>
            <w:gridSpan w:val="2"/>
          </w:tcPr>
          <w:p w:rsidR="00773F8E" w:rsidRDefault="00773F8E" w:rsidP="00773F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University</w:t>
            </w:r>
          </w:p>
          <w:p w:rsidR="00773F8E" w:rsidRDefault="00773F8E" w:rsidP="00773F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3.4, 3.5</w:t>
            </w:r>
          </w:p>
          <w:p w:rsidR="00773F8E" w:rsidRDefault="00773F8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7BA" w:rsidRPr="008D12D1" w:rsidRDefault="00FF757E" w:rsidP="00FF75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1.4, 2.2, 4.2</w:t>
            </w:r>
          </w:p>
        </w:tc>
        <w:tc>
          <w:tcPr>
            <w:tcW w:w="1619" w:type="dxa"/>
            <w:gridSpan w:val="2"/>
          </w:tcPr>
          <w:p w:rsidR="00E707BA" w:rsidRPr="008D12D1" w:rsidRDefault="00E707BA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E707BA" w:rsidRPr="00643FBA" w:rsidRDefault="00643FBA" w:rsidP="002F4882">
            <w:pPr>
              <w:rPr>
                <w:rFonts w:ascii="Calibri" w:hAnsi="Calibri" w:cs="Calibri"/>
                <w:sz w:val="18"/>
                <w:szCs w:val="18"/>
              </w:rPr>
            </w:pPr>
            <w:r w:rsidRPr="00643FBA">
              <w:rPr>
                <w:b/>
                <w:sz w:val="18"/>
                <w:szCs w:val="18"/>
              </w:rPr>
              <w:t>3.2</w:t>
            </w:r>
            <w:r w:rsidRPr="00643FBA">
              <w:rPr>
                <w:sz w:val="18"/>
                <w:szCs w:val="18"/>
              </w:rPr>
              <w:t xml:space="preserve">  Develop one other interdisciplinary international service-learning experience by 2015</w:t>
            </w:r>
          </w:p>
        </w:tc>
        <w:tc>
          <w:tcPr>
            <w:tcW w:w="1260" w:type="dxa"/>
            <w:gridSpan w:val="2"/>
          </w:tcPr>
          <w:p w:rsidR="00E707BA" w:rsidRPr="008D12D1" w:rsidRDefault="00E707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9" w:type="dxa"/>
            <w:gridSpan w:val="2"/>
          </w:tcPr>
          <w:p w:rsidR="00E707BA" w:rsidRPr="008D12D1" w:rsidRDefault="00E707BA" w:rsidP="002A47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gridSpan w:val="3"/>
          </w:tcPr>
          <w:p w:rsidR="00E707BA" w:rsidRPr="00F605D0" w:rsidRDefault="00E707BA" w:rsidP="008A5D4B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</w:tcPr>
          <w:p w:rsidR="00E707BA" w:rsidRDefault="00E707BA" w:rsidP="00C54C5B">
            <w:pPr>
              <w:rPr>
                <w:sz w:val="18"/>
                <w:szCs w:val="18"/>
              </w:rPr>
            </w:pPr>
          </w:p>
          <w:p w:rsidR="00E707BA" w:rsidRDefault="00E707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E707BA" w:rsidRPr="00B75B28" w:rsidRDefault="00643FBA" w:rsidP="00643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Director, Honors faculty &amp; staff, Paul Lane (?)</w:t>
            </w:r>
          </w:p>
        </w:tc>
        <w:tc>
          <w:tcPr>
            <w:tcW w:w="990" w:type="dxa"/>
            <w:gridSpan w:val="2"/>
          </w:tcPr>
          <w:p w:rsidR="00E707BA" w:rsidRPr="008D12D1" w:rsidRDefault="00E707BA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07BA" w:rsidRPr="008D12D1" w:rsidTr="00CE448A">
        <w:trPr>
          <w:gridAfter w:val="1"/>
          <w:wAfter w:w="108" w:type="dxa"/>
        </w:trPr>
        <w:tc>
          <w:tcPr>
            <w:tcW w:w="1176" w:type="dxa"/>
            <w:gridSpan w:val="2"/>
          </w:tcPr>
          <w:p w:rsidR="00D63C0E" w:rsidRDefault="00D63C0E" w:rsidP="00D63C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D63C0E" w:rsidRDefault="00D63C0E" w:rsidP="00D63C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7BA" w:rsidRPr="008D12D1" w:rsidRDefault="00D63C0E" w:rsidP="00D63C0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1619" w:type="dxa"/>
            <w:gridSpan w:val="2"/>
          </w:tcPr>
          <w:p w:rsidR="00E707BA" w:rsidRPr="008D12D1" w:rsidRDefault="00E707BA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E707BA" w:rsidRPr="00CE448A" w:rsidRDefault="00CE448A" w:rsidP="002F4882">
            <w:pPr>
              <w:rPr>
                <w:rFonts w:ascii="Calibri" w:hAnsi="Calibri" w:cs="Calibri"/>
                <w:sz w:val="18"/>
                <w:szCs w:val="18"/>
              </w:rPr>
            </w:pPr>
            <w:r w:rsidRPr="00CE448A">
              <w:rPr>
                <w:b/>
                <w:sz w:val="18"/>
                <w:szCs w:val="18"/>
              </w:rPr>
              <w:t>3.3</w:t>
            </w:r>
            <w:r w:rsidRPr="00CE448A">
              <w:rPr>
                <w:sz w:val="18"/>
                <w:szCs w:val="18"/>
              </w:rPr>
              <w:t xml:space="preserve"> Develop Center for Big History</w:t>
            </w:r>
          </w:p>
        </w:tc>
        <w:tc>
          <w:tcPr>
            <w:tcW w:w="1260" w:type="dxa"/>
            <w:gridSpan w:val="2"/>
          </w:tcPr>
          <w:p w:rsidR="00E707BA" w:rsidRPr="008D12D1" w:rsidRDefault="00E707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9" w:type="dxa"/>
            <w:gridSpan w:val="2"/>
          </w:tcPr>
          <w:p w:rsidR="00E707BA" w:rsidRPr="008D12D1" w:rsidRDefault="00E707BA" w:rsidP="002A47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gridSpan w:val="3"/>
          </w:tcPr>
          <w:p w:rsidR="00E707BA" w:rsidRPr="008D12D1" w:rsidRDefault="00CE448A" w:rsidP="008A5D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889" w:type="dxa"/>
            <w:gridSpan w:val="2"/>
          </w:tcPr>
          <w:p w:rsidR="00E707BA" w:rsidRPr="008D12D1" w:rsidRDefault="00E707BA" w:rsidP="00CE44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E707BA" w:rsidRPr="00B75B28" w:rsidRDefault="00CE4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Craig Benjamin</w:t>
            </w:r>
          </w:p>
        </w:tc>
        <w:tc>
          <w:tcPr>
            <w:tcW w:w="990" w:type="dxa"/>
            <w:gridSpan w:val="2"/>
          </w:tcPr>
          <w:p w:rsidR="00E707BA" w:rsidRPr="008D12D1" w:rsidRDefault="00E707BA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E448A" w:rsidRPr="008D12D1" w:rsidTr="00CE448A">
        <w:trPr>
          <w:gridAfter w:val="1"/>
          <w:wAfter w:w="108" w:type="dxa"/>
        </w:trPr>
        <w:tc>
          <w:tcPr>
            <w:tcW w:w="1176" w:type="dxa"/>
            <w:gridSpan w:val="2"/>
          </w:tcPr>
          <w:p w:rsidR="00CE448A" w:rsidRDefault="00CE448A" w:rsidP="002F488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E448A" w:rsidRPr="008D12D1" w:rsidRDefault="00CE448A" w:rsidP="002F48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9" w:type="dxa"/>
            <w:gridSpan w:val="2"/>
          </w:tcPr>
          <w:p w:rsidR="00CE448A" w:rsidRPr="008D12D1" w:rsidRDefault="00CE448A" w:rsidP="002F48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E448A" w:rsidRPr="00CE448A" w:rsidRDefault="00CE448A" w:rsidP="002F4882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E448A" w:rsidRPr="008D12D1" w:rsidRDefault="00CE44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9" w:type="dxa"/>
            <w:gridSpan w:val="2"/>
          </w:tcPr>
          <w:p w:rsidR="00CE448A" w:rsidRPr="008D12D1" w:rsidRDefault="00CE448A" w:rsidP="002A47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gridSpan w:val="3"/>
          </w:tcPr>
          <w:p w:rsidR="00CE448A" w:rsidRDefault="00CE448A" w:rsidP="008A5D4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9" w:type="dxa"/>
            <w:gridSpan w:val="2"/>
          </w:tcPr>
          <w:p w:rsidR="00CE448A" w:rsidRPr="008D12D1" w:rsidRDefault="00CE448A" w:rsidP="00CE44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CE448A" w:rsidRDefault="00CE448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CE448A" w:rsidRPr="008D12D1" w:rsidRDefault="00CE448A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CE448A" w:rsidRDefault="00CE44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07BA" w:rsidRPr="008D12D1" w:rsidTr="00CE448A">
        <w:trPr>
          <w:gridBefore w:val="1"/>
          <w:wBefore w:w="108" w:type="dxa"/>
        </w:trPr>
        <w:tc>
          <w:tcPr>
            <w:tcW w:w="1264" w:type="dxa"/>
            <w:gridSpan w:val="2"/>
            <w:shd w:val="clear" w:color="auto" w:fill="BFBFBF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475BC">
              <w:rPr>
                <w:b/>
                <w:bCs/>
                <w:sz w:val="20"/>
                <w:szCs w:val="20"/>
              </w:rPr>
              <w:t>University Objective</w:t>
            </w:r>
          </w:p>
        </w:tc>
        <w:tc>
          <w:tcPr>
            <w:tcW w:w="1529" w:type="dxa"/>
            <w:gridSpan w:val="2"/>
            <w:shd w:val="clear" w:color="auto" w:fill="BFBFBF"/>
          </w:tcPr>
          <w:p w:rsidR="00E707BA" w:rsidRDefault="00CE448A" w:rsidP="00F363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Meijer Honors </w:t>
            </w:r>
            <w:r w:rsidR="00E707BA">
              <w:rPr>
                <w:b/>
                <w:bCs/>
                <w:sz w:val="22"/>
                <w:szCs w:val="22"/>
              </w:rPr>
              <w:t xml:space="preserve"> College</w:t>
            </w:r>
          </w:p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Goal</w:t>
            </w:r>
            <w:r w:rsidRPr="00CD4FD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BFBFBF"/>
          </w:tcPr>
          <w:p w:rsidR="00E707BA" w:rsidRPr="008D12D1" w:rsidRDefault="00CE448A" w:rsidP="00E53221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Honors</w:t>
            </w:r>
            <w:r w:rsidR="00E707BA">
              <w:rPr>
                <w:b/>
                <w:bCs/>
                <w:sz w:val="22"/>
                <w:szCs w:val="22"/>
              </w:rPr>
              <w:t xml:space="preserve"> College</w:t>
            </w:r>
            <w:r w:rsidR="00E707BA" w:rsidRPr="00CD4FD7">
              <w:rPr>
                <w:b/>
                <w:bCs/>
                <w:sz w:val="22"/>
                <w:szCs w:val="22"/>
              </w:rPr>
              <w:t xml:space="preserve"> objective(s)</w:t>
            </w:r>
          </w:p>
        </w:tc>
        <w:tc>
          <w:tcPr>
            <w:tcW w:w="1320" w:type="dxa"/>
            <w:gridSpan w:val="2"/>
            <w:shd w:val="clear" w:color="auto" w:fill="BFBFBF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Metric</w:t>
            </w:r>
          </w:p>
        </w:tc>
        <w:tc>
          <w:tcPr>
            <w:tcW w:w="1456" w:type="dxa"/>
            <w:gridSpan w:val="3"/>
            <w:shd w:val="clear" w:color="auto" w:fill="BFBFBF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1154" w:type="dxa"/>
            <w:gridSpan w:val="2"/>
            <w:shd w:val="clear" w:color="auto" w:fill="BFBFBF"/>
          </w:tcPr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Time-frame</w:t>
            </w:r>
          </w:p>
        </w:tc>
        <w:tc>
          <w:tcPr>
            <w:tcW w:w="1799" w:type="dxa"/>
            <w:gridSpan w:val="2"/>
            <w:shd w:val="clear" w:color="auto" w:fill="BFBFBF"/>
          </w:tcPr>
          <w:p w:rsidR="00E707BA" w:rsidRPr="00CD4FD7" w:rsidRDefault="00E707BA" w:rsidP="00F46CE9">
            <w:pPr>
              <w:jc w:val="center"/>
              <w:rPr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Strategy(</w:t>
            </w:r>
            <w:proofErr w:type="spellStart"/>
            <w:r w:rsidRPr="00CD4FD7">
              <w:rPr>
                <w:b/>
                <w:bCs/>
                <w:sz w:val="22"/>
                <w:szCs w:val="22"/>
              </w:rPr>
              <w:t>ies</w:t>
            </w:r>
            <w:proofErr w:type="spellEnd"/>
            <w:r w:rsidRPr="00CD4FD7">
              <w:rPr>
                <w:b/>
                <w:bCs/>
                <w:sz w:val="22"/>
                <w:szCs w:val="22"/>
              </w:rPr>
              <w:t>)</w:t>
            </w:r>
          </w:p>
          <w:p w:rsidR="00E707BA" w:rsidRPr="008D12D1" w:rsidRDefault="00E707BA" w:rsidP="00D176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Action(s)</w:t>
            </w:r>
          </w:p>
        </w:tc>
        <w:tc>
          <w:tcPr>
            <w:tcW w:w="1349" w:type="dxa"/>
            <w:gridSpan w:val="2"/>
            <w:shd w:val="clear" w:color="auto" w:fill="BFBFBF"/>
          </w:tcPr>
          <w:p w:rsidR="00E707BA" w:rsidRPr="008D12D1" w:rsidRDefault="00E707BA" w:rsidP="00DE2A20">
            <w:pPr>
              <w:rPr>
                <w:rFonts w:ascii="Calibri" w:hAnsi="Calibri" w:cs="Calibri"/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Responsible Person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4FD7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4FD7">
              <w:rPr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1080" w:type="dxa"/>
            <w:gridSpan w:val="2"/>
            <w:shd w:val="clear" w:color="auto" w:fill="BFBFBF"/>
          </w:tcPr>
          <w:p w:rsidR="00E707BA" w:rsidRPr="00CD4FD7" w:rsidRDefault="00E707BA" w:rsidP="00DE2A20">
            <w:pPr>
              <w:rPr>
                <w:b/>
                <w:bCs/>
              </w:rPr>
            </w:pPr>
            <w:r w:rsidRPr="00CD4FD7">
              <w:rPr>
                <w:b/>
                <w:bCs/>
                <w:sz w:val="22"/>
                <w:szCs w:val="22"/>
              </w:rPr>
              <w:t>Resources</w:t>
            </w:r>
          </w:p>
          <w:p w:rsidR="00E707BA" w:rsidRPr="008D12D1" w:rsidRDefault="00E707BA" w:rsidP="00DE2A2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00" w:type="dxa"/>
            <w:gridSpan w:val="2"/>
            <w:shd w:val="clear" w:color="auto" w:fill="BFBFBF"/>
          </w:tcPr>
          <w:p w:rsidR="00E707BA" w:rsidRPr="008D12D1" w:rsidRDefault="00E707BA" w:rsidP="00DE2A2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4FD7">
              <w:rPr>
                <w:b/>
                <w:bCs/>
                <w:sz w:val="16"/>
                <w:szCs w:val="16"/>
              </w:rPr>
              <w:t>Status as of 1/4/10</w:t>
            </w:r>
          </w:p>
        </w:tc>
      </w:tr>
      <w:tr w:rsidR="00E707BA" w:rsidRPr="008D12D1" w:rsidTr="00CE448A">
        <w:trPr>
          <w:gridBefore w:val="1"/>
          <w:wBefore w:w="108" w:type="dxa"/>
        </w:trPr>
        <w:tc>
          <w:tcPr>
            <w:tcW w:w="1264" w:type="dxa"/>
            <w:gridSpan w:val="2"/>
          </w:tcPr>
          <w:p w:rsidR="00E707BA" w:rsidRPr="00D63C0E" w:rsidRDefault="00D63C0E" w:rsidP="002F4882">
            <w:pPr>
              <w:rPr>
                <w:sz w:val="18"/>
                <w:szCs w:val="18"/>
              </w:rPr>
            </w:pPr>
            <w:r w:rsidRPr="00D63C0E">
              <w:rPr>
                <w:sz w:val="18"/>
                <w:szCs w:val="18"/>
              </w:rPr>
              <w:t>University</w:t>
            </w:r>
          </w:p>
          <w:p w:rsidR="00D63C0E" w:rsidRPr="008D12D1" w:rsidRDefault="00D63C0E" w:rsidP="002F4882">
            <w:pPr>
              <w:rPr>
                <w:rFonts w:ascii="Calibri" w:hAnsi="Calibri" w:cs="Calibri"/>
                <w:sz w:val="16"/>
                <w:szCs w:val="16"/>
              </w:rPr>
            </w:pPr>
            <w:r w:rsidRPr="00D63C0E">
              <w:rPr>
                <w:sz w:val="18"/>
                <w:szCs w:val="18"/>
              </w:rPr>
              <w:t>1.4</w:t>
            </w:r>
          </w:p>
        </w:tc>
        <w:tc>
          <w:tcPr>
            <w:tcW w:w="1529" w:type="dxa"/>
            <w:gridSpan w:val="2"/>
          </w:tcPr>
          <w:p w:rsidR="00E707BA" w:rsidRPr="00B75B28" w:rsidRDefault="00E707BA" w:rsidP="002F4882">
            <w:pPr>
              <w:tabs>
                <w:tab w:val="center" w:pos="4680"/>
                <w:tab w:val="right" w:pos="9360"/>
              </w:tabs>
              <w:rPr>
                <w:b/>
                <w:bCs/>
                <w:sz w:val="18"/>
                <w:szCs w:val="18"/>
              </w:rPr>
            </w:pPr>
            <w:r w:rsidRPr="00B75B28">
              <w:rPr>
                <w:b/>
                <w:bCs/>
                <w:sz w:val="18"/>
                <w:szCs w:val="18"/>
              </w:rPr>
              <w:t>Goal 4:</w:t>
            </w:r>
          </w:p>
          <w:p w:rsidR="00E707BA" w:rsidRPr="00CE448A" w:rsidRDefault="00CE448A" w:rsidP="00CE448A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18"/>
                <w:szCs w:val="18"/>
              </w:rPr>
            </w:pPr>
            <w:r w:rsidRPr="00CE448A">
              <w:rPr>
                <w:sz w:val="18"/>
                <w:szCs w:val="18"/>
              </w:rPr>
              <w:t>Implement a governance system for Honors</w:t>
            </w:r>
          </w:p>
        </w:tc>
        <w:tc>
          <w:tcPr>
            <w:tcW w:w="1649" w:type="dxa"/>
            <w:gridSpan w:val="2"/>
          </w:tcPr>
          <w:p w:rsidR="00CE448A" w:rsidRPr="00CE448A" w:rsidRDefault="00CE448A" w:rsidP="00CE448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48A">
              <w:rPr>
                <w:rFonts w:ascii="Times New Roman" w:hAnsi="Times New Roman" w:cs="Times New Roman"/>
                <w:b/>
                <w:sz w:val="18"/>
                <w:szCs w:val="18"/>
              </w:rPr>
              <w:t>4.1</w:t>
            </w:r>
            <w:r w:rsidRPr="00CE448A">
              <w:rPr>
                <w:rFonts w:ascii="Times New Roman" w:hAnsi="Times New Roman" w:cs="Times New Roman"/>
                <w:sz w:val="18"/>
                <w:szCs w:val="18"/>
              </w:rPr>
              <w:t xml:space="preserve"> By 2013, have fully-implemented governance system in Honors</w:t>
            </w:r>
          </w:p>
          <w:p w:rsidR="00E707BA" w:rsidRPr="008D12D1" w:rsidRDefault="00E707BA" w:rsidP="009D00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0" w:type="dxa"/>
            <w:gridSpan w:val="2"/>
          </w:tcPr>
          <w:p w:rsidR="00E707BA" w:rsidRPr="008D12D1" w:rsidRDefault="00E707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40" w:type="dxa"/>
            <w:gridSpan w:val="2"/>
          </w:tcPr>
          <w:p w:rsidR="00E707BA" w:rsidRPr="008D12D1" w:rsidRDefault="00E707BA" w:rsidP="00CE44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E707BA" w:rsidRPr="008D12D1" w:rsidRDefault="00CE448A" w:rsidP="008A5D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799" w:type="dxa"/>
            <w:gridSpan w:val="2"/>
          </w:tcPr>
          <w:p w:rsidR="00E707BA" w:rsidRPr="00F36877" w:rsidRDefault="00E707BA" w:rsidP="00F70C18">
            <w:pPr>
              <w:rPr>
                <w:sz w:val="18"/>
                <w:szCs w:val="18"/>
              </w:rPr>
            </w:pPr>
            <w:r w:rsidRPr="00F368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gridSpan w:val="2"/>
          </w:tcPr>
          <w:p w:rsidR="00E707BA" w:rsidRDefault="00CE448A" w:rsidP="009D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Honors director, full-time &amp; residence faculty; led by Kurt Ellenberger</w:t>
            </w:r>
          </w:p>
          <w:p w:rsidR="00E707BA" w:rsidRDefault="00E707BA" w:rsidP="009D00FB">
            <w:pPr>
              <w:rPr>
                <w:sz w:val="18"/>
                <w:szCs w:val="18"/>
              </w:rPr>
            </w:pPr>
          </w:p>
          <w:p w:rsidR="00E707BA" w:rsidRPr="008D12D1" w:rsidRDefault="00E707BA" w:rsidP="009D00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707BA" w:rsidRPr="008D12D1" w:rsidRDefault="00E707BA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07BA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707BA" w:rsidRPr="008D12D1" w:rsidRDefault="00E707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19D" w:rsidRPr="008D12D1" w:rsidTr="00CE448A">
        <w:trPr>
          <w:gridBefore w:val="1"/>
          <w:wBefore w:w="108" w:type="dxa"/>
        </w:trPr>
        <w:tc>
          <w:tcPr>
            <w:tcW w:w="1264" w:type="dxa"/>
            <w:gridSpan w:val="2"/>
          </w:tcPr>
          <w:p w:rsidR="00773F8E" w:rsidRDefault="00773F8E" w:rsidP="00773F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  <w:p w:rsidR="003A519D" w:rsidRDefault="00773F8E" w:rsidP="00773F8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3.4, 3.5</w:t>
            </w:r>
          </w:p>
          <w:p w:rsidR="00FF757E" w:rsidRDefault="00FF757E" w:rsidP="002F488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FF757E" w:rsidRDefault="00FF757E" w:rsidP="00FF75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57E" w:rsidRPr="008D12D1" w:rsidRDefault="00FF757E" w:rsidP="00FF75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1.3</w:t>
            </w:r>
            <w:r w:rsidR="0077323E">
              <w:rPr>
                <w:sz w:val="18"/>
                <w:szCs w:val="18"/>
              </w:rPr>
              <w:t>, 2.2</w:t>
            </w:r>
          </w:p>
        </w:tc>
        <w:tc>
          <w:tcPr>
            <w:tcW w:w="1529" w:type="dxa"/>
            <w:gridSpan w:val="2"/>
          </w:tcPr>
          <w:p w:rsidR="003A519D" w:rsidRPr="00CB2FD5" w:rsidRDefault="003A519D" w:rsidP="00CB2FD5">
            <w:pPr>
              <w:tabs>
                <w:tab w:val="center" w:pos="4680"/>
                <w:tab w:val="right" w:pos="9360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Goal 5: </w:t>
            </w:r>
            <w:r w:rsidR="00CB2FD5">
              <w:rPr>
                <w:bCs/>
                <w:sz w:val="18"/>
                <w:szCs w:val="18"/>
              </w:rPr>
              <w:t>The Meijer Fellowship Office will add value to student education and help prepare them to shape their futures</w:t>
            </w:r>
          </w:p>
        </w:tc>
        <w:tc>
          <w:tcPr>
            <w:tcW w:w="1649" w:type="dxa"/>
            <w:gridSpan w:val="2"/>
          </w:tcPr>
          <w:p w:rsidR="003A519D" w:rsidRPr="00CE448A" w:rsidRDefault="00CB2FD5" w:rsidP="00CE44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5.1 </w:t>
            </w:r>
            <w:r w:rsidRPr="003A519D">
              <w:rPr>
                <w:rFonts w:ascii="Times New Roman" w:hAnsi="Times New Roman" w:cs="Times New Roman"/>
                <w:sz w:val="18"/>
                <w:szCs w:val="18"/>
              </w:rPr>
              <w:t>The Meijer Fellowship Office will play an instrumental role in building a Culture of Scholarly Engagement at GVSU</w:t>
            </w:r>
          </w:p>
        </w:tc>
        <w:tc>
          <w:tcPr>
            <w:tcW w:w="1320" w:type="dxa"/>
            <w:gridSpan w:val="2"/>
          </w:tcPr>
          <w:p w:rsidR="003A519D" w:rsidRDefault="003A51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3A519D" w:rsidRPr="008D12D1" w:rsidRDefault="003A519D" w:rsidP="00CE44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3A519D" w:rsidRDefault="00CB2FD5" w:rsidP="008A5D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799" w:type="dxa"/>
            <w:gridSpan w:val="2"/>
          </w:tcPr>
          <w:p w:rsidR="00CB2FD5" w:rsidRPr="00CB2FD5" w:rsidRDefault="00CB2FD5" w:rsidP="00CB2FD5">
            <w:pPr>
              <w:rPr>
                <w:sz w:val="18"/>
                <w:szCs w:val="18"/>
              </w:rPr>
            </w:pPr>
            <w:r w:rsidRPr="00CB2FD5">
              <w:rPr>
                <w:sz w:val="18"/>
                <w:szCs w:val="18"/>
              </w:rPr>
              <w:t>1) Have a well-established Office of Fellowships that is well-integrated into the campus community; well-known and respected by all undergraduate and graduate programs; and growing in regional and national recognition.</w:t>
            </w:r>
          </w:p>
          <w:p w:rsidR="00CB2FD5" w:rsidRPr="00CB2FD5" w:rsidRDefault="00CB2FD5" w:rsidP="00CB2F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2FD5">
              <w:rPr>
                <w:sz w:val="18"/>
                <w:szCs w:val="18"/>
              </w:rPr>
              <w:t xml:space="preserve">2) Collaborate with both academic and student affairs on effective and creative programming to develop and secure nationally </w:t>
            </w:r>
            <w:r w:rsidRPr="00CB2FD5">
              <w:rPr>
                <w:sz w:val="18"/>
                <w:szCs w:val="18"/>
              </w:rPr>
              <w:lastRenderedPageBreak/>
              <w:t>competitive award winners (i.e. personal statement writing workshops; study abroad funding sessions; leadership development)</w:t>
            </w:r>
          </w:p>
          <w:p w:rsidR="00CB2FD5" w:rsidRPr="00CB2FD5" w:rsidRDefault="00CB2FD5" w:rsidP="00CB2F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2FD5">
              <w:rPr>
                <w:sz w:val="18"/>
                <w:szCs w:val="18"/>
              </w:rPr>
              <w:t>3) Closely align with the Office of Undergraduate Research to implement effective programming and advising services regarding research and graduate study opportunities</w:t>
            </w:r>
          </w:p>
          <w:p w:rsidR="003A519D" w:rsidRPr="00F36877" w:rsidRDefault="003A519D" w:rsidP="00F70C18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3A519D" w:rsidRDefault="00CB2FD5" w:rsidP="009D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Meijer Fellowship office</w:t>
            </w:r>
          </w:p>
        </w:tc>
        <w:tc>
          <w:tcPr>
            <w:tcW w:w="1080" w:type="dxa"/>
            <w:gridSpan w:val="2"/>
          </w:tcPr>
          <w:p w:rsidR="003A519D" w:rsidRPr="008D12D1" w:rsidRDefault="003A519D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3A519D" w:rsidRDefault="003A519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2FD5" w:rsidRPr="008D12D1" w:rsidTr="00CE448A">
        <w:trPr>
          <w:gridBefore w:val="1"/>
          <w:wBefore w:w="108" w:type="dxa"/>
        </w:trPr>
        <w:tc>
          <w:tcPr>
            <w:tcW w:w="1264" w:type="dxa"/>
            <w:gridSpan w:val="2"/>
          </w:tcPr>
          <w:p w:rsidR="00773F8E" w:rsidRDefault="00773F8E" w:rsidP="00773F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University</w:t>
            </w:r>
          </w:p>
          <w:p w:rsidR="00CB2FD5" w:rsidRDefault="00773F8E" w:rsidP="00773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3.4, 3.5</w:t>
            </w:r>
            <w:r w:rsidR="00D63C0E">
              <w:rPr>
                <w:sz w:val="18"/>
                <w:szCs w:val="18"/>
              </w:rPr>
              <w:t>, 8.9</w:t>
            </w:r>
          </w:p>
          <w:p w:rsidR="0077323E" w:rsidRDefault="0077323E" w:rsidP="002F4882">
            <w:pPr>
              <w:rPr>
                <w:sz w:val="18"/>
                <w:szCs w:val="18"/>
              </w:rPr>
            </w:pP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Pr="00CB2FD5" w:rsidRDefault="0077323E" w:rsidP="00773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1.3, 2.2</w:t>
            </w:r>
          </w:p>
        </w:tc>
        <w:tc>
          <w:tcPr>
            <w:tcW w:w="1529" w:type="dxa"/>
            <w:gridSpan w:val="2"/>
          </w:tcPr>
          <w:p w:rsidR="00CB2FD5" w:rsidRDefault="00CB2FD5" w:rsidP="002F4882">
            <w:pPr>
              <w:tabs>
                <w:tab w:val="center" w:pos="4680"/>
                <w:tab w:val="right" w:pos="936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9" w:type="dxa"/>
            <w:gridSpan w:val="2"/>
          </w:tcPr>
          <w:p w:rsidR="00CB2FD5" w:rsidRPr="00CB2FD5" w:rsidRDefault="00CB2FD5" w:rsidP="00CE44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D5">
              <w:rPr>
                <w:rFonts w:ascii="Times New Roman" w:hAnsi="Times New Roman" w:cs="Times New Roman"/>
                <w:b/>
                <w:sz w:val="18"/>
                <w:szCs w:val="18"/>
              </w:rPr>
              <w:t>5.2.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2FD5">
              <w:rPr>
                <w:rFonts w:ascii="Times New Roman" w:hAnsi="Times New Roman" w:cs="Times New Roman"/>
                <w:sz w:val="18"/>
                <w:szCs w:val="18"/>
              </w:rPr>
              <w:t>The Meijer Fellowship Office will increase the number of students making a positive contribution to West Michigan, the state, the nation and the world, through the services offered through the Office of Fellowships</w:t>
            </w:r>
          </w:p>
        </w:tc>
        <w:tc>
          <w:tcPr>
            <w:tcW w:w="1320" w:type="dxa"/>
            <w:gridSpan w:val="2"/>
          </w:tcPr>
          <w:p w:rsidR="00CB2FD5" w:rsidRDefault="00971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</w:p>
          <w:p w:rsidR="00CD38E4" w:rsidRDefault="00CD3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>
            <w:pPr>
              <w:rPr>
                <w:sz w:val="18"/>
                <w:szCs w:val="18"/>
              </w:rPr>
            </w:pPr>
          </w:p>
          <w:p w:rsidR="00BE4DD6" w:rsidRDefault="00BE4DD6" w:rsidP="00BE4DD6">
            <w:pPr>
              <w:rPr>
                <w:sz w:val="18"/>
                <w:szCs w:val="18"/>
              </w:rPr>
            </w:pPr>
            <w:r w:rsidRPr="00A3597E">
              <w:rPr>
                <w:sz w:val="18"/>
                <w:szCs w:val="18"/>
              </w:rPr>
              <w:t>20% of students preparing to apply for nationally competitive scholarships</w:t>
            </w:r>
          </w:p>
          <w:p w:rsidR="00B76A9D" w:rsidRDefault="00B76A9D" w:rsidP="00BE4DD6">
            <w:pPr>
              <w:rPr>
                <w:sz w:val="18"/>
                <w:szCs w:val="18"/>
              </w:rPr>
            </w:pPr>
          </w:p>
          <w:p w:rsidR="00B76A9D" w:rsidRDefault="00B76A9D" w:rsidP="00BE4DD6">
            <w:pPr>
              <w:rPr>
                <w:sz w:val="18"/>
                <w:szCs w:val="18"/>
              </w:rPr>
            </w:pPr>
          </w:p>
          <w:p w:rsidR="00B76A9D" w:rsidRPr="00A3597E" w:rsidRDefault="00B76A9D" w:rsidP="00BE4DD6">
            <w:pPr>
              <w:rPr>
                <w:sz w:val="18"/>
                <w:szCs w:val="18"/>
              </w:rPr>
            </w:pPr>
          </w:p>
          <w:p w:rsidR="00BE4DD6" w:rsidRDefault="00BE4DD6" w:rsidP="00BE4DD6">
            <w:pPr>
              <w:rPr>
                <w:sz w:val="18"/>
                <w:szCs w:val="18"/>
              </w:rPr>
            </w:pPr>
            <w:r w:rsidRPr="00A3597E">
              <w:rPr>
                <w:sz w:val="18"/>
                <w:szCs w:val="18"/>
              </w:rPr>
              <w:t>10-12</w:t>
            </w:r>
          </w:p>
        </w:tc>
        <w:tc>
          <w:tcPr>
            <w:tcW w:w="1440" w:type="dxa"/>
            <w:gridSpan w:val="2"/>
          </w:tcPr>
          <w:p w:rsidR="00CB2FD5" w:rsidRPr="00CD38E4" w:rsidRDefault="009713A9" w:rsidP="00CE448A">
            <w:pPr>
              <w:rPr>
                <w:sz w:val="18"/>
                <w:szCs w:val="18"/>
              </w:rPr>
            </w:pPr>
            <w:r w:rsidRPr="00CD38E4">
              <w:rPr>
                <w:sz w:val="18"/>
                <w:szCs w:val="18"/>
              </w:rPr>
              <w:lastRenderedPageBreak/>
              <w:t>20</w:t>
            </w: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Pr="00CD38E4" w:rsidRDefault="00CD38E4" w:rsidP="00CE448A">
            <w:pPr>
              <w:rPr>
                <w:sz w:val="18"/>
                <w:szCs w:val="18"/>
              </w:rPr>
            </w:pPr>
          </w:p>
          <w:p w:rsidR="00CD38E4" w:rsidRDefault="00CD38E4" w:rsidP="00CE448A">
            <w:pPr>
              <w:rPr>
                <w:sz w:val="18"/>
                <w:szCs w:val="18"/>
              </w:rPr>
            </w:pPr>
            <w:r w:rsidRPr="00CD38E4">
              <w:rPr>
                <w:sz w:val="18"/>
                <w:szCs w:val="18"/>
              </w:rPr>
              <w:t>4</w:t>
            </w: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</w:p>
          <w:p w:rsidR="00BE4DD6" w:rsidRDefault="00BE4DD6" w:rsidP="00CE4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76A9D" w:rsidRDefault="00B76A9D" w:rsidP="00CE448A">
            <w:pPr>
              <w:rPr>
                <w:sz w:val="18"/>
                <w:szCs w:val="18"/>
              </w:rPr>
            </w:pPr>
          </w:p>
          <w:p w:rsidR="00B76A9D" w:rsidRDefault="00B76A9D" w:rsidP="00CE448A">
            <w:pPr>
              <w:rPr>
                <w:sz w:val="18"/>
                <w:szCs w:val="18"/>
              </w:rPr>
            </w:pPr>
          </w:p>
          <w:p w:rsidR="00B76A9D" w:rsidRDefault="00B76A9D" w:rsidP="00CE448A">
            <w:pPr>
              <w:rPr>
                <w:sz w:val="18"/>
                <w:szCs w:val="18"/>
              </w:rPr>
            </w:pPr>
          </w:p>
          <w:p w:rsidR="00B76A9D" w:rsidRDefault="00B76A9D" w:rsidP="00CE448A">
            <w:pPr>
              <w:rPr>
                <w:sz w:val="18"/>
                <w:szCs w:val="18"/>
              </w:rPr>
            </w:pPr>
          </w:p>
          <w:p w:rsidR="00B76A9D" w:rsidRDefault="00B76A9D" w:rsidP="00CE448A">
            <w:pPr>
              <w:rPr>
                <w:sz w:val="18"/>
                <w:szCs w:val="18"/>
              </w:rPr>
            </w:pPr>
          </w:p>
          <w:p w:rsidR="00B76A9D" w:rsidRDefault="00B76A9D" w:rsidP="00CE448A">
            <w:pPr>
              <w:rPr>
                <w:sz w:val="18"/>
                <w:szCs w:val="18"/>
              </w:rPr>
            </w:pPr>
          </w:p>
          <w:p w:rsidR="00B76A9D" w:rsidRDefault="00B76A9D" w:rsidP="00CE448A">
            <w:pPr>
              <w:rPr>
                <w:sz w:val="18"/>
                <w:szCs w:val="18"/>
              </w:rPr>
            </w:pPr>
          </w:p>
          <w:p w:rsidR="00B76A9D" w:rsidRDefault="00B76A9D" w:rsidP="00CE448A">
            <w:pPr>
              <w:rPr>
                <w:sz w:val="18"/>
                <w:szCs w:val="18"/>
              </w:rPr>
            </w:pPr>
          </w:p>
          <w:p w:rsidR="00B76A9D" w:rsidRDefault="00B76A9D" w:rsidP="00CE448A">
            <w:pPr>
              <w:rPr>
                <w:sz w:val="18"/>
                <w:szCs w:val="18"/>
              </w:rPr>
            </w:pPr>
          </w:p>
          <w:p w:rsidR="00B76A9D" w:rsidRPr="008D12D1" w:rsidRDefault="00B76A9D" w:rsidP="00CE44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170" w:type="dxa"/>
            <w:gridSpan w:val="3"/>
          </w:tcPr>
          <w:p w:rsidR="00CB2FD5" w:rsidRDefault="009713A9" w:rsidP="008A5D4B">
            <w:pPr>
              <w:rPr>
                <w:sz w:val="18"/>
                <w:szCs w:val="18"/>
              </w:rPr>
            </w:pPr>
            <w:r w:rsidRPr="00CD38E4">
              <w:rPr>
                <w:sz w:val="18"/>
                <w:szCs w:val="18"/>
              </w:rPr>
              <w:lastRenderedPageBreak/>
              <w:t>2015</w:t>
            </w: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</w:p>
          <w:p w:rsidR="00CD38E4" w:rsidRDefault="00CD38E4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</w:t>
            </w: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</w:p>
          <w:p w:rsidR="00BE4DD6" w:rsidRDefault="00BE4DD6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D82243" w:rsidRDefault="00D82243" w:rsidP="008A5D4B">
            <w:pPr>
              <w:rPr>
                <w:sz w:val="18"/>
                <w:szCs w:val="18"/>
              </w:rPr>
            </w:pPr>
          </w:p>
          <w:p w:rsidR="00D82243" w:rsidRDefault="00D82243" w:rsidP="008A5D4B">
            <w:pPr>
              <w:rPr>
                <w:sz w:val="18"/>
                <w:szCs w:val="18"/>
              </w:rPr>
            </w:pPr>
          </w:p>
          <w:p w:rsidR="00D82243" w:rsidRDefault="00D82243" w:rsidP="008A5D4B">
            <w:pPr>
              <w:rPr>
                <w:sz w:val="18"/>
                <w:szCs w:val="18"/>
              </w:rPr>
            </w:pPr>
          </w:p>
          <w:p w:rsidR="00D82243" w:rsidRDefault="00D82243" w:rsidP="008A5D4B">
            <w:pPr>
              <w:rPr>
                <w:sz w:val="18"/>
                <w:szCs w:val="18"/>
              </w:rPr>
            </w:pPr>
          </w:p>
          <w:p w:rsidR="00D82243" w:rsidRDefault="00D82243" w:rsidP="008A5D4B">
            <w:pPr>
              <w:rPr>
                <w:sz w:val="18"/>
                <w:szCs w:val="18"/>
              </w:rPr>
            </w:pPr>
          </w:p>
          <w:p w:rsidR="00D82243" w:rsidRDefault="00D82243" w:rsidP="008A5D4B">
            <w:pPr>
              <w:rPr>
                <w:sz w:val="18"/>
                <w:szCs w:val="18"/>
              </w:rPr>
            </w:pPr>
          </w:p>
          <w:p w:rsidR="00D82243" w:rsidRDefault="00D82243" w:rsidP="008A5D4B">
            <w:pPr>
              <w:rPr>
                <w:sz w:val="18"/>
                <w:szCs w:val="18"/>
              </w:rPr>
            </w:pPr>
          </w:p>
          <w:p w:rsidR="00D82243" w:rsidRDefault="00D82243" w:rsidP="008A5D4B">
            <w:pPr>
              <w:rPr>
                <w:sz w:val="18"/>
                <w:szCs w:val="18"/>
              </w:rPr>
            </w:pPr>
          </w:p>
          <w:p w:rsidR="00D82243" w:rsidRDefault="00D82243" w:rsidP="008A5D4B">
            <w:pPr>
              <w:rPr>
                <w:sz w:val="18"/>
                <w:szCs w:val="18"/>
              </w:rPr>
            </w:pPr>
          </w:p>
          <w:p w:rsidR="00D82243" w:rsidRPr="00CD38E4" w:rsidRDefault="00D82243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799" w:type="dxa"/>
            <w:gridSpan w:val="2"/>
          </w:tcPr>
          <w:p w:rsidR="00CB2FD5" w:rsidRPr="00CB2FD5" w:rsidRDefault="00CB2FD5" w:rsidP="00CB2FD5">
            <w:pPr>
              <w:rPr>
                <w:sz w:val="18"/>
                <w:szCs w:val="18"/>
              </w:rPr>
            </w:pPr>
            <w:r w:rsidRPr="00CB2FD5">
              <w:rPr>
                <w:sz w:val="18"/>
                <w:szCs w:val="18"/>
              </w:rPr>
              <w:lastRenderedPageBreak/>
              <w:t xml:space="preserve">1) Increase the number of students applying for nationally competitive awards </w:t>
            </w:r>
          </w:p>
          <w:p w:rsidR="00CB2FD5" w:rsidRPr="00CB2FD5" w:rsidRDefault="00CB2FD5" w:rsidP="00CB2FD5">
            <w:pPr>
              <w:rPr>
                <w:sz w:val="18"/>
                <w:szCs w:val="18"/>
              </w:rPr>
            </w:pPr>
            <w:r w:rsidRPr="00CB2FD5">
              <w:rPr>
                <w:sz w:val="18"/>
                <w:szCs w:val="18"/>
              </w:rPr>
              <w:t>2) Increase the number of students applying to and gaining admission to graduate and professional programs</w:t>
            </w:r>
          </w:p>
          <w:p w:rsidR="00CB2FD5" w:rsidRPr="00CB2FD5" w:rsidRDefault="00CB2FD5" w:rsidP="00CB2FD5">
            <w:pPr>
              <w:rPr>
                <w:sz w:val="18"/>
                <w:szCs w:val="18"/>
              </w:rPr>
            </w:pPr>
            <w:r w:rsidRPr="00CB2FD5">
              <w:rPr>
                <w:sz w:val="18"/>
                <w:szCs w:val="18"/>
              </w:rPr>
              <w:t xml:space="preserve">3) Increase the number of students participating in Teach for America, </w:t>
            </w:r>
            <w:proofErr w:type="spellStart"/>
            <w:r w:rsidRPr="00CB2FD5">
              <w:rPr>
                <w:sz w:val="18"/>
                <w:szCs w:val="18"/>
              </w:rPr>
              <w:t>PeaceCorps</w:t>
            </w:r>
            <w:proofErr w:type="spellEnd"/>
            <w:r w:rsidRPr="00CB2FD5">
              <w:rPr>
                <w:sz w:val="18"/>
                <w:szCs w:val="18"/>
              </w:rPr>
              <w:t xml:space="preserve">, </w:t>
            </w:r>
            <w:proofErr w:type="spellStart"/>
            <w:r w:rsidRPr="00CB2FD5">
              <w:rPr>
                <w:sz w:val="18"/>
                <w:szCs w:val="18"/>
              </w:rPr>
              <w:t>JobCorps</w:t>
            </w:r>
            <w:proofErr w:type="spellEnd"/>
            <w:r w:rsidRPr="00CB2FD5">
              <w:rPr>
                <w:sz w:val="18"/>
                <w:szCs w:val="18"/>
              </w:rPr>
              <w:t xml:space="preserve"> and other such organizations because of fellowship advising</w:t>
            </w:r>
          </w:p>
          <w:p w:rsidR="00CB2FD5" w:rsidRPr="00CB2FD5" w:rsidRDefault="00CB2FD5" w:rsidP="00CB2FD5">
            <w:pPr>
              <w:rPr>
                <w:sz w:val="18"/>
                <w:szCs w:val="18"/>
              </w:rPr>
            </w:pPr>
            <w:r w:rsidRPr="00CB2FD5">
              <w:rPr>
                <w:sz w:val="18"/>
                <w:szCs w:val="18"/>
              </w:rPr>
              <w:t>4) Increase the number of students participating in undergraduate research opportunities and study abroad through nationally competitive award opportunities</w:t>
            </w:r>
          </w:p>
          <w:p w:rsidR="00CB2FD5" w:rsidRPr="00CB2FD5" w:rsidRDefault="00CB2FD5" w:rsidP="00CB2FD5">
            <w:pPr>
              <w:rPr>
                <w:sz w:val="18"/>
                <w:szCs w:val="18"/>
              </w:rPr>
            </w:pPr>
            <w:r w:rsidRPr="00CB2FD5">
              <w:rPr>
                <w:sz w:val="18"/>
                <w:szCs w:val="18"/>
              </w:rPr>
              <w:lastRenderedPageBreak/>
              <w:t>5) Increase the number of students earning teaching certification through nationally competitive award opportunities</w:t>
            </w:r>
          </w:p>
          <w:p w:rsidR="00CB2FD5" w:rsidRPr="00CB2FD5" w:rsidRDefault="00CB2FD5" w:rsidP="00CB2FD5">
            <w:pPr>
              <w:rPr>
                <w:sz w:val="18"/>
                <w:szCs w:val="18"/>
              </w:rPr>
            </w:pPr>
            <w:r w:rsidRPr="00CB2FD5">
              <w:rPr>
                <w:sz w:val="18"/>
                <w:szCs w:val="18"/>
              </w:rPr>
              <w:t>6) Increase the number of students engaging in undergraduate research opportunities in preparation of award opportunities (25% of students meeting for fellowships advising</w:t>
            </w:r>
          </w:p>
          <w:p w:rsidR="00CB2FD5" w:rsidRPr="00CB2FD5" w:rsidRDefault="00CB2FD5" w:rsidP="00CB2FD5">
            <w:pPr>
              <w:rPr>
                <w:sz w:val="18"/>
                <w:szCs w:val="18"/>
              </w:rPr>
            </w:pPr>
            <w:r w:rsidRPr="00CB2FD5">
              <w:rPr>
                <w:sz w:val="18"/>
                <w:szCs w:val="18"/>
              </w:rPr>
              <w:t>7) Secure significantly more nationally competitive award winners annually</w:t>
            </w:r>
          </w:p>
        </w:tc>
        <w:tc>
          <w:tcPr>
            <w:tcW w:w="1349" w:type="dxa"/>
            <w:gridSpan w:val="2"/>
          </w:tcPr>
          <w:p w:rsidR="00CB2FD5" w:rsidRDefault="00D82243" w:rsidP="009D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Meijer Fellowship Office</w:t>
            </w:r>
          </w:p>
        </w:tc>
        <w:tc>
          <w:tcPr>
            <w:tcW w:w="1080" w:type="dxa"/>
            <w:gridSpan w:val="2"/>
          </w:tcPr>
          <w:p w:rsidR="00CB2FD5" w:rsidRPr="008D12D1" w:rsidRDefault="00CB2FD5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CB2FD5" w:rsidRDefault="00CB2FD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243" w:rsidRPr="008D12D1" w:rsidTr="00CE448A">
        <w:trPr>
          <w:gridBefore w:val="1"/>
          <w:wBefore w:w="108" w:type="dxa"/>
        </w:trPr>
        <w:tc>
          <w:tcPr>
            <w:tcW w:w="1264" w:type="dxa"/>
            <w:gridSpan w:val="2"/>
          </w:tcPr>
          <w:p w:rsidR="00773F8E" w:rsidRDefault="00773F8E" w:rsidP="00773F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University</w:t>
            </w:r>
          </w:p>
          <w:p w:rsidR="00D82243" w:rsidRDefault="00773F8E" w:rsidP="00773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3.4, 3.5</w:t>
            </w:r>
          </w:p>
          <w:p w:rsidR="00773F8E" w:rsidRDefault="00773F8E" w:rsidP="00773F8E">
            <w:pPr>
              <w:rPr>
                <w:sz w:val="18"/>
                <w:szCs w:val="18"/>
              </w:rPr>
            </w:pP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Brooks Obj.</w:t>
            </w:r>
          </w:p>
          <w:p w:rsidR="0077323E" w:rsidRDefault="0077323E" w:rsidP="0077323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23E" w:rsidRPr="00CB2FD5" w:rsidRDefault="0077323E" w:rsidP="00773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1.3, 2.2</w:t>
            </w:r>
          </w:p>
        </w:tc>
        <w:tc>
          <w:tcPr>
            <w:tcW w:w="1529" w:type="dxa"/>
            <w:gridSpan w:val="2"/>
          </w:tcPr>
          <w:p w:rsidR="00D82243" w:rsidRDefault="00D82243" w:rsidP="002F4882">
            <w:pPr>
              <w:tabs>
                <w:tab w:val="center" w:pos="4680"/>
                <w:tab w:val="right" w:pos="936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9" w:type="dxa"/>
            <w:gridSpan w:val="2"/>
          </w:tcPr>
          <w:p w:rsidR="00D82243" w:rsidRPr="00CB2FD5" w:rsidRDefault="00D82243" w:rsidP="00CE44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5.3 </w:t>
            </w:r>
            <w:r w:rsidRPr="00A3597E">
              <w:rPr>
                <w:rFonts w:ascii="Times New Roman" w:hAnsi="Times New Roman" w:cs="Times New Roman"/>
                <w:sz w:val="18"/>
                <w:szCs w:val="18"/>
              </w:rPr>
              <w:t>The Meijer Fellowship Office will implement assessment plan to determine effectiveness and future directions of Office of Fellowships</w:t>
            </w:r>
          </w:p>
        </w:tc>
        <w:tc>
          <w:tcPr>
            <w:tcW w:w="1320" w:type="dxa"/>
            <w:gridSpan w:val="2"/>
          </w:tcPr>
          <w:p w:rsidR="00D82243" w:rsidRDefault="00D822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D82243" w:rsidRPr="00CD38E4" w:rsidRDefault="00D82243" w:rsidP="00CE448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D82243" w:rsidRPr="00CD38E4" w:rsidRDefault="00D82243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799" w:type="dxa"/>
            <w:gridSpan w:val="2"/>
          </w:tcPr>
          <w:p w:rsidR="00D82243" w:rsidRPr="00CB2FD5" w:rsidRDefault="00D82243" w:rsidP="00CB2FD5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D82243" w:rsidRDefault="00D82243" w:rsidP="009D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Meijer Fellowship Office</w:t>
            </w:r>
          </w:p>
        </w:tc>
        <w:tc>
          <w:tcPr>
            <w:tcW w:w="1080" w:type="dxa"/>
            <w:gridSpan w:val="2"/>
          </w:tcPr>
          <w:p w:rsidR="00D82243" w:rsidRPr="008D12D1" w:rsidRDefault="00D82243" w:rsidP="008702F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D82243" w:rsidRDefault="00D822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707BA" w:rsidRPr="00CB3078" w:rsidRDefault="00E707BA" w:rsidP="007269F9">
      <w:pPr>
        <w:spacing w:before="150"/>
        <w:rPr>
          <w:rFonts w:ascii="Palatino Linotype" w:hAnsi="Palatino Linotype" w:cs="Palatino Linotype"/>
          <w:sz w:val="18"/>
          <w:szCs w:val="18"/>
        </w:rPr>
      </w:pPr>
      <w:r>
        <w:t xml:space="preserve"> </w:t>
      </w:r>
    </w:p>
    <w:sectPr w:rsidR="00E707BA" w:rsidRPr="00CB3078" w:rsidSect="00AC5D9D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76" w:rsidRDefault="00C62376" w:rsidP="008A05D3">
      <w:r>
        <w:separator/>
      </w:r>
    </w:p>
  </w:endnote>
  <w:endnote w:type="continuationSeparator" w:id="0">
    <w:p w:rsidR="00C62376" w:rsidRDefault="00C62376" w:rsidP="008A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76" w:rsidRDefault="00EE3E4E">
    <w:pPr>
      <w:pStyle w:val="Footer"/>
      <w:jc w:val="center"/>
    </w:pPr>
    <w:fldSimple w:instr=" PAGE   \* MERGEFORMAT ">
      <w:r w:rsidR="00D63C0E">
        <w:rPr>
          <w:noProof/>
        </w:rPr>
        <w:t>3</w:t>
      </w:r>
    </w:fldSimple>
  </w:p>
  <w:p w:rsidR="00C62376" w:rsidRDefault="00C623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76" w:rsidRDefault="00C62376" w:rsidP="008A05D3">
      <w:r>
        <w:separator/>
      </w:r>
    </w:p>
  </w:footnote>
  <w:footnote w:type="continuationSeparator" w:id="0">
    <w:p w:rsidR="00C62376" w:rsidRDefault="00C62376" w:rsidP="008A0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486"/>
    <w:multiLevelType w:val="hybridMultilevel"/>
    <w:tmpl w:val="BA2E1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E2381E"/>
    <w:multiLevelType w:val="hybridMultilevel"/>
    <w:tmpl w:val="53F4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2E2E5C"/>
    <w:multiLevelType w:val="hybridMultilevel"/>
    <w:tmpl w:val="7EF2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823461"/>
    <w:multiLevelType w:val="hybridMultilevel"/>
    <w:tmpl w:val="35C6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6B053C"/>
    <w:multiLevelType w:val="hybridMultilevel"/>
    <w:tmpl w:val="021A0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405BB"/>
    <w:multiLevelType w:val="hybridMultilevel"/>
    <w:tmpl w:val="1A6A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7D1869"/>
    <w:multiLevelType w:val="multilevel"/>
    <w:tmpl w:val="340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AD486A"/>
    <w:multiLevelType w:val="hybridMultilevel"/>
    <w:tmpl w:val="B194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431EF"/>
    <w:multiLevelType w:val="multilevel"/>
    <w:tmpl w:val="C854C0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D04725C"/>
    <w:multiLevelType w:val="multilevel"/>
    <w:tmpl w:val="0A46641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1E86700"/>
    <w:multiLevelType w:val="multilevel"/>
    <w:tmpl w:val="4F781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 w:val="0"/>
        <w:bCs w:val="0"/>
      </w:rPr>
    </w:lvl>
  </w:abstractNum>
  <w:abstractNum w:abstractNumId="11">
    <w:nsid w:val="55927C2C"/>
    <w:multiLevelType w:val="hybridMultilevel"/>
    <w:tmpl w:val="256AD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67D3B35"/>
    <w:multiLevelType w:val="hybridMultilevel"/>
    <w:tmpl w:val="2808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307044"/>
    <w:multiLevelType w:val="hybridMultilevel"/>
    <w:tmpl w:val="5F2C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5C27F1"/>
    <w:multiLevelType w:val="hybridMultilevel"/>
    <w:tmpl w:val="F2A093FA"/>
    <w:lvl w:ilvl="0" w:tplc="982C5AF8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D017B33"/>
    <w:multiLevelType w:val="multilevel"/>
    <w:tmpl w:val="8EE0926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1B75459"/>
    <w:multiLevelType w:val="multilevel"/>
    <w:tmpl w:val="62B2CF98"/>
    <w:lvl w:ilvl="0">
      <w:start w:val="1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0"/>
        </w:tabs>
        <w:ind w:left="2400" w:hanging="2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2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2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2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2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0"/>
        </w:tabs>
        <w:ind w:left="2760" w:hanging="2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0"/>
        </w:tabs>
        <w:ind w:left="2820" w:hanging="234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FC6"/>
    <w:rsid w:val="0000642D"/>
    <w:rsid w:val="00017CAB"/>
    <w:rsid w:val="00033542"/>
    <w:rsid w:val="000457C7"/>
    <w:rsid w:val="0005419A"/>
    <w:rsid w:val="00055488"/>
    <w:rsid w:val="00060DAC"/>
    <w:rsid w:val="000674B9"/>
    <w:rsid w:val="000730C4"/>
    <w:rsid w:val="00094837"/>
    <w:rsid w:val="000A3F63"/>
    <w:rsid w:val="000A458F"/>
    <w:rsid w:val="000A70AB"/>
    <w:rsid w:val="000A76C0"/>
    <w:rsid w:val="000B3DA1"/>
    <w:rsid w:val="000C1A4C"/>
    <w:rsid w:val="000C3A7D"/>
    <w:rsid w:val="000C45AA"/>
    <w:rsid w:val="000C5BA1"/>
    <w:rsid w:val="000E2D96"/>
    <w:rsid w:val="000F618C"/>
    <w:rsid w:val="000F753B"/>
    <w:rsid w:val="00100ACE"/>
    <w:rsid w:val="00107FBC"/>
    <w:rsid w:val="00112A64"/>
    <w:rsid w:val="00117815"/>
    <w:rsid w:val="001259E7"/>
    <w:rsid w:val="0013057C"/>
    <w:rsid w:val="00130CE7"/>
    <w:rsid w:val="00135C56"/>
    <w:rsid w:val="00150BD5"/>
    <w:rsid w:val="001514CA"/>
    <w:rsid w:val="00153261"/>
    <w:rsid w:val="001608D4"/>
    <w:rsid w:val="001609E0"/>
    <w:rsid w:val="00162ABB"/>
    <w:rsid w:val="00163A5D"/>
    <w:rsid w:val="00165990"/>
    <w:rsid w:val="00181B7D"/>
    <w:rsid w:val="001916E8"/>
    <w:rsid w:val="0019701D"/>
    <w:rsid w:val="00197950"/>
    <w:rsid w:val="001A0040"/>
    <w:rsid w:val="001A091D"/>
    <w:rsid w:val="001B0F10"/>
    <w:rsid w:val="001B22E7"/>
    <w:rsid w:val="001D694D"/>
    <w:rsid w:val="001E3681"/>
    <w:rsid w:val="001E6AA0"/>
    <w:rsid w:val="001F2C2B"/>
    <w:rsid w:val="00201B32"/>
    <w:rsid w:val="00211C66"/>
    <w:rsid w:val="00216A86"/>
    <w:rsid w:val="002252EF"/>
    <w:rsid w:val="00232C1F"/>
    <w:rsid w:val="0023330B"/>
    <w:rsid w:val="00242C65"/>
    <w:rsid w:val="00243477"/>
    <w:rsid w:val="00266AAD"/>
    <w:rsid w:val="002678B3"/>
    <w:rsid w:val="002709BC"/>
    <w:rsid w:val="0028464E"/>
    <w:rsid w:val="002852AA"/>
    <w:rsid w:val="002917FB"/>
    <w:rsid w:val="002A1971"/>
    <w:rsid w:val="002A4785"/>
    <w:rsid w:val="002A5E95"/>
    <w:rsid w:val="002A7219"/>
    <w:rsid w:val="002B2638"/>
    <w:rsid w:val="002B7C0B"/>
    <w:rsid w:val="002B7FE4"/>
    <w:rsid w:val="002C1AB9"/>
    <w:rsid w:val="002C433D"/>
    <w:rsid w:val="002D31BC"/>
    <w:rsid w:val="002E0047"/>
    <w:rsid w:val="002F027F"/>
    <w:rsid w:val="002F02E1"/>
    <w:rsid w:val="002F4882"/>
    <w:rsid w:val="002F6A3A"/>
    <w:rsid w:val="0030374F"/>
    <w:rsid w:val="0030442B"/>
    <w:rsid w:val="00316373"/>
    <w:rsid w:val="00331776"/>
    <w:rsid w:val="0033298C"/>
    <w:rsid w:val="003335A5"/>
    <w:rsid w:val="00360A39"/>
    <w:rsid w:val="00361566"/>
    <w:rsid w:val="00361A88"/>
    <w:rsid w:val="00364634"/>
    <w:rsid w:val="003653C5"/>
    <w:rsid w:val="00376393"/>
    <w:rsid w:val="003776ED"/>
    <w:rsid w:val="00380F3C"/>
    <w:rsid w:val="00380F43"/>
    <w:rsid w:val="00386FAE"/>
    <w:rsid w:val="0039662E"/>
    <w:rsid w:val="003A25AE"/>
    <w:rsid w:val="003A3A95"/>
    <w:rsid w:val="003A519D"/>
    <w:rsid w:val="003B1A31"/>
    <w:rsid w:val="003C2236"/>
    <w:rsid w:val="003C5B2F"/>
    <w:rsid w:val="003C5B93"/>
    <w:rsid w:val="003C63B1"/>
    <w:rsid w:val="003D6660"/>
    <w:rsid w:val="003F1DD8"/>
    <w:rsid w:val="003F2D31"/>
    <w:rsid w:val="00420479"/>
    <w:rsid w:val="00424241"/>
    <w:rsid w:val="00427062"/>
    <w:rsid w:val="004516EF"/>
    <w:rsid w:val="00452A22"/>
    <w:rsid w:val="00456AD4"/>
    <w:rsid w:val="0047027D"/>
    <w:rsid w:val="00476F99"/>
    <w:rsid w:val="0048028E"/>
    <w:rsid w:val="00495897"/>
    <w:rsid w:val="004B2D9D"/>
    <w:rsid w:val="004C1AC3"/>
    <w:rsid w:val="004E2A07"/>
    <w:rsid w:val="004F6C7D"/>
    <w:rsid w:val="005169B5"/>
    <w:rsid w:val="00523F3E"/>
    <w:rsid w:val="00550063"/>
    <w:rsid w:val="00563E92"/>
    <w:rsid w:val="00572E8F"/>
    <w:rsid w:val="00574DF6"/>
    <w:rsid w:val="0057694B"/>
    <w:rsid w:val="005A06D6"/>
    <w:rsid w:val="005B13C9"/>
    <w:rsid w:val="005B40EC"/>
    <w:rsid w:val="005C25D7"/>
    <w:rsid w:val="005C6F1F"/>
    <w:rsid w:val="005D1DE8"/>
    <w:rsid w:val="005D4098"/>
    <w:rsid w:val="005E1DB9"/>
    <w:rsid w:val="005E72B4"/>
    <w:rsid w:val="005F2F17"/>
    <w:rsid w:val="005F620B"/>
    <w:rsid w:val="006007AC"/>
    <w:rsid w:val="006259A9"/>
    <w:rsid w:val="00643FBA"/>
    <w:rsid w:val="00645D86"/>
    <w:rsid w:val="00646C29"/>
    <w:rsid w:val="00646ED9"/>
    <w:rsid w:val="0066014F"/>
    <w:rsid w:val="00664A5E"/>
    <w:rsid w:val="00664FC6"/>
    <w:rsid w:val="00665885"/>
    <w:rsid w:val="006772A9"/>
    <w:rsid w:val="00677F60"/>
    <w:rsid w:val="00685C5D"/>
    <w:rsid w:val="006878BA"/>
    <w:rsid w:val="006A0199"/>
    <w:rsid w:val="006D32B4"/>
    <w:rsid w:val="006D7853"/>
    <w:rsid w:val="006E0515"/>
    <w:rsid w:val="006F3916"/>
    <w:rsid w:val="007045BB"/>
    <w:rsid w:val="00716D41"/>
    <w:rsid w:val="00717D82"/>
    <w:rsid w:val="0072003A"/>
    <w:rsid w:val="00725549"/>
    <w:rsid w:val="007269F9"/>
    <w:rsid w:val="00742586"/>
    <w:rsid w:val="00751D24"/>
    <w:rsid w:val="00756227"/>
    <w:rsid w:val="007612A8"/>
    <w:rsid w:val="00761E88"/>
    <w:rsid w:val="007707CF"/>
    <w:rsid w:val="00770A74"/>
    <w:rsid w:val="0077323E"/>
    <w:rsid w:val="00773F8E"/>
    <w:rsid w:val="00793733"/>
    <w:rsid w:val="0079668B"/>
    <w:rsid w:val="007A5432"/>
    <w:rsid w:val="007B332F"/>
    <w:rsid w:val="007C4415"/>
    <w:rsid w:val="007C4992"/>
    <w:rsid w:val="007C581D"/>
    <w:rsid w:val="007D06AD"/>
    <w:rsid w:val="007D4C7C"/>
    <w:rsid w:val="007D6CB2"/>
    <w:rsid w:val="007E77EB"/>
    <w:rsid w:val="007E79DA"/>
    <w:rsid w:val="007F04A2"/>
    <w:rsid w:val="007F507B"/>
    <w:rsid w:val="007F7F19"/>
    <w:rsid w:val="008019FB"/>
    <w:rsid w:val="008023BB"/>
    <w:rsid w:val="0080299B"/>
    <w:rsid w:val="00802B98"/>
    <w:rsid w:val="008044CC"/>
    <w:rsid w:val="0080614F"/>
    <w:rsid w:val="008278C2"/>
    <w:rsid w:val="00830261"/>
    <w:rsid w:val="00843ADF"/>
    <w:rsid w:val="008478F1"/>
    <w:rsid w:val="008505DD"/>
    <w:rsid w:val="00850F4B"/>
    <w:rsid w:val="00852A54"/>
    <w:rsid w:val="00853A8B"/>
    <w:rsid w:val="00860126"/>
    <w:rsid w:val="00860822"/>
    <w:rsid w:val="00862A7F"/>
    <w:rsid w:val="008702FD"/>
    <w:rsid w:val="00871D95"/>
    <w:rsid w:val="00877F57"/>
    <w:rsid w:val="00882856"/>
    <w:rsid w:val="00886486"/>
    <w:rsid w:val="00890375"/>
    <w:rsid w:val="0089284C"/>
    <w:rsid w:val="008A05D3"/>
    <w:rsid w:val="008A5D4B"/>
    <w:rsid w:val="008A70ED"/>
    <w:rsid w:val="008B2E72"/>
    <w:rsid w:val="008B67E6"/>
    <w:rsid w:val="008C11D2"/>
    <w:rsid w:val="008D12D1"/>
    <w:rsid w:val="008D35E2"/>
    <w:rsid w:val="008D4ACF"/>
    <w:rsid w:val="008D69BC"/>
    <w:rsid w:val="008F25B5"/>
    <w:rsid w:val="0090133E"/>
    <w:rsid w:val="009044AD"/>
    <w:rsid w:val="00904E13"/>
    <w:rsid w:val="009135F2"/>
    <w:rsid w:val="00924A68"/>
    <w:rsid w:val="00944BDE"/>
    <w:rsid w:val="00951AC1"/>
    <w:rsid w:val="00955CAD"/>
    <w:rsid w:val="00965114"/>
    <w:rsid w:val="00967D6B"/>
    <w:rsid w:val="009713A9"/>
    <w:rsid w:val="00976F40"/>
    <w:rsid w:val="00982358"/>
    <w:rsid w:val="00983427"/>
    <w:rsid w:val="0098636B"/>
    <w:rsid w:val="00992432"/>
    <w:rsid w:val="00994001"/>
    <w:rsid w:val="00995018"/>
    <w:rsid w:val="009A07B5"/>
    <w:rsid w:val="009C1771"/>
    <w:rsid w:val="009C5E3C"/>
    <w:rsid w:val="009D00FB"/>
    <w:rsid w:val="009E07D0"/>
    <w:rsid w:val="00A01CA4"/>
    <w:rsid w:val="00A049C7"/>
    <w:rsid w:val="00A27B5A"/>
    <w:rsid w:val="00A41C68"/>
    <w:rsid w:val="00A52773"/>
    <w:rsid w:val="00A55E2B"/>
    <w:rsid w:val="00A635B1"/>
    <w:rsid w:val="00A81D20"/>
    <w:rsid w:val="00A8418A"/>
    <w:rsid w:val="00A95B02"/>
    <w:rsid w:val="00A95F79"/>
    <w:rsid w:val="00AA2F36"/>
    <w:rsid w:val="00AB0347"/>
    <w:rsid w:val="00AB1DC5"/>
    <w:rsid w:val="00AB339B"/>
    <w:rsid w:val="00AB3B9D"/>
    <w:rsid w:val="00AB42BC"/>
    <w:rsid w:val="00AC1F55"/>
    <w:rsid w:val="00AC5D9D"/>
    <w:rsid w:val="00AC7282"/>
    <w:rsid w:val="00AE0B1B"/>
    <w:rsid w:val="00AE57FE"/>
    <w:rsid w:val="00AF2E4D"/>
    <w:rsid w:val="00AF408F"/>
    <w:rsid w:val="00AF42BE"/>
    <w:rsid w:val="00AF4D0E"/>
    <w:rsid w:val="00B0062C"/>
    <w:rsid w:val="00B235D6"/>
    <w:rsid w:val="00B250D5"/>
    <w:rsid w:val="00B262C2"/>
    <w:rsid w:val="00B269CD"/>
    <w:rsid w:val="00B34DA7"/>
    <w:rsid w:val="00B36090"/>
    <w:rsid w:val="00B551EE"/>
    <w:rsid w:val="00B64BE5"/>
    <w:rsid w:val="00B66D6D"/>
    <w:rsid w:val="00B6788D"/>
    <w:rsid w:val="00B75B28"/>
    <w:rsid w:val="00B76A9D"/>
    <w:rsid w:val="00B81580"/>
    <w:rsid w:val="00B818A7"/>
    <w:rsid w:val="00B84AFB"/>
    <w:rsid w:val="00B9604A"/>
    <w:rsid w:val="00BA4EDE"/>
    <w:rsid w:val="00BB0A23"/>
    <w:rsid w:val="00BB3217"/>
    <w:rsid w:val="00BB5111"/>
    <w:rsid w:val="00BE0FB0"/>
    <w:rsid w:val="00BE341B"/>
    <w:rsid w:val="00BE453E"/>
    <w:rsid w:val="00BE4DD6"/>
    <w:rsid w:val="00BF04AB"/>
    <w:rsid w:val="00BF53F9"/>
    <w:rsid w:val="00BF5B8A"/>
    <w:rsid w:val="00C06463"/>
    <w:rsid w:val="00C225CA"/>
    <w:rsid w:val="00C253B7"/>
    <w:rsid w:val="00C2612F"/>
    <w:rsid w:val="00C27C4F"/>
    <w:rsid w:val="00C32460"/>
    <w:rsid w:val="00C4058B"/>
    <w:rsid w:val="00C50C2C"/>
    <w:rsid w:val="00C53C08"/>
    <w:rsid w:val="00C54789"/>
    <w:rsid w:val="00C54C5B"/>
    <w:rsid w:val="00C565BA"/>
    <w:rsid w:val="00C62376"/>
    <w:rsid w:val="00C73441"/>
    <w:rsid w:val="00C75DE7"/>
    <w:rsid w:val="00C83880"/>
    <w:rsid w:val="00C9497E"/>
    <w:rsid w:val="00C957F0"/>
    <w:rsid w:val="00CA4126"/>
    <w:rsid w:val="00CB0FE5"/>
    <w:rsid w:val="00CB2FD5"/>
    <w:rsid w:val="00CB3078"/>
    <w:rsid w:val="00CB589C"/>
    <w:rsid w:val="00CB7E2A"/>
    <w:rsid w:val="00CC39AF"/>
    <w:rsid w:val="00CC4C8B"/>
    <w:rsid w:val="00CD38E4"/>
    <w:rsid w:val="00CD4FD7"/>
    <w:rsid w:val="00CD6046"/>
    <w:rsid w:val="00CE448A"/>
    <w:rsid w:val="00CF585D"/>
    <w:rsid w:val="00D17648"/>
    <w:rsid w:val="00D20663"/>
    <w:rsid w:val="00D260A3"/>
    <w:rsid w:val="00D3378C"/>
    <w:rsid w:val="00D356BD"/>
    <w:rsid w:val="00D57068"/>
    <w:rsid w:val="00D63C0E"/>
    <w:rsid w:val="00D6440C"/>
    <w:rsid w:val="00D82243"/>
    <w:rsid w:val="00D952B0"/>
    <w:rsid w:val="00DA1F97"/>
    <w:rsid w:val="00DD3941"/>
    <w:rsid w:val="00DD7D92"/>
    <w:rsid w:val="00DE1C75"/>
    <w:rsid w:val="00DE2A20"/>
    <w:rsid w:val="00DF0058"/>
    <w:rsid w:val="00DF424F"/>
    <w:rsid w:val="00E00074"/>
    <w:rsid w:val="00E02C41"/>
    <w:rsid w:val="00E10577"/>
    <w:rsid w:val="00E20F20"/>
    <w:rsid w:val="00E27A4E"/>
    <w:rsid w:val="00E32375"/>
    <w:rsid w:val="00E44724"/>
    <w:rsid w:val="00E475BC"/>
    <w:rsid w:val="00E53221"/>
    <w:rsid w:val="00E54A27"/>
    <w:rsid w:val="00E642F3"/>
    <w:rsid w:val="00E707BA"/>
    <w:rsid w:val="00E734BC"/>
    <w:rsid w:val="00E868C0"/>
    <w:rsid w:val="00EB508C"/>
    <w:rsid w:val="00EC5C08"/>
    <w:rsid w:val="00EC79AF"/>
    <w:rsid w:val="00ED4FE0"/>
    <w:rsid w:val="00EE3E4E"/>
    <w:rsid w:val="00F04F19"/>
    <w:rsid w:val="00F12103"/>
    <w:rsid w:val="00F205DD"/>
    <w:rsid w:val="00F25D7F"/>
    <w:rsid w:val="00F3631B"/>
    <w:rsid w:val="00F36877"/>
    <w:rsid w:val="00F46CE9"/>
    <w:rsid w:val="00F50CF0"/>
    <w:rsid w:val="00F5442E"/>
    <w:rsid w:val="00F605D0"/>
    <w:rsid w:val="00F605E9"/>
    <w:rsid w:val="00F70C18"/>
    <w:rsid w:val="00F772E4"/>
    <w:rsid w:val="00F8285B"/>
    <w:rsid w:val="00F829A8"/>
    <w:rsid w:val="00FA11D1"/>
    <w:rsid w:val="00FB2A24"/>
    <w:rsid w:val="00FD4470"/>
    <w:rsid w:val="00FE0671"/>
    <w:rsid w:val="00FE1C21"/>
    <w:rsid w:val="00FF0010"/>
    <w:rsid w:val="00FF102B"/>
    <w:rsid w:val="00FF34A3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60A39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A39"/>
    <w:rPr>
      <w:rFonts w:eastAsia="Times New Roman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664F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64FC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64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4FC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4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FC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ED9"/>
    <w:rPr>
      <w:rFonts w:eastAsia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761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1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6ED9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6ED9"/>
    <w:rPr>
      <w:b/>
      <w:bCs/>
    </w:rPr>
  </w:style>
  <w:style w:type="paragraph" w:styleId="NormalWeb">
    <w:name w:val="Normal (Web)"/>
    <w:basedOn w:val="Normal"/>
    <w:rsid w:val="005C6F1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D260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E95"/>
    <w:pPr>
      <w:ind w:left="720"/>
    </w:pPr>
    <w:rPr>
      <w:rFonts w:ascii="Calibri" w:hAnsi="Calibri" w:cs="Calibri"/>
    </w:rPr>
  </w:style>
  <w:style w:type="paragraph" w:customStyle="1" w:styleId="BasicParagraph">
    <w:name w:val="[Basic Paragraph]"/>
    <w:basedOn w:val="Normal"/>
    <w:uiPriority w:val="99"/>
    <w:rsid w:val="002852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2064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</vt:lpstr>
    </vt:vector>
  </TitlesOfParts>
  <Company>GVSU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</dc:title>
  <dc:creator>Julie Guevara</dc:creator>
  <cp:lastModifiedBy>glassst</cp:lastModifiedBy>
  <cp:revision>3</cp:revision>
  <cp:lastPrinted>2010-10-11T19:39:00Z</cp:lastPrinted>
  <dcterms:created xsi:type="dcterms:W3CDTF">2011-08-30T15:18:00Z</dcterms:created>
  <dcterms:modified xsi:type="dcterms:W3CDTF">2011-08-30T15:24:00Z</dcterms:modified>
</cp:coreProperties>
</file>