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BB" w:rsidRPr="00A70C7E" w:rsidRDefault="00B86C60" w:rsidP="003F0886">
      <w:pPr>
        <w:spacing w:before="100" w:beforeAutospacing="1" w:after="100" w:afterAutospacing="1" w:line="360" w:lineRule="auto"/>
        <w:jc w:val="center"/>
        <w:rPr>
          <w:b/>
        </w:rPr>
      </w:pPr>
      <w:r w:rsidRPr="00A70C7E">
        <w:rPr>
          <w:b/>
        </w:rPr>
        <w:t>Environmental</w:t>
      </w:r>
      <w:r w:rsidR="005210BD" w:rsidRPr="00A70C7E">
        <w:rPr>
          <w:b/>
        </w:rPr>
        <w:t xml:space="preserve"> Studies Program Strategic Plan</w:t>
      </w:r>
    </w:p>
    <w:p w:rsidR="005210BD" w:rsidRPr="00A70C7E" w:rsidRDefault="00124B60" w:rsidP="003F0886">
      <w:pPr>
        <w:spacing w:before="100" w:beforeAutospacing="1" w:after="100" w:afterAutospacing="1" w:line="360" w:lineRule="auto"/>
        <w:jc w:val="center"/>
        <w:rPr>
          <w:b/>
        </w:rPr>
      </w:pPr>
      <w:r>
        <w:rPr>
          <w:b/>
        </w:rPr>
        <w:t>September 2011</w:t>
      </w:r>
    </w:p>
    <w:p w:rsidR="00FA64BC" w:rsidRPr="00A70C7E" w:rsidRDefault="00FA64BC" w:rsidP="003F0886">
      <w:pPr>
        <w:spacing w:before="100" w:beforeAutospacing="1" w:after="100" w:afterAutospacing="1" w:line="360" w:lineRule="auto"/>
        <w:jc w:val="both"/>
        <w:rPr>
          <w:b/>
        </w:rPr>
      </w:pPr>
      <w:r w:rsidRPr="00A70C7E">
        <w:rPr>
          <w:b/>
        </w:rPr>
        <w:t>Program Overview:</w:t>
      </w:r>
    </w:p>
    <w:p w:rsidR="005B54BF" w:rsidRPr="00A70C7E" w:rsidRDefault="005B54BF" w:rsidP="003F0886">
      <w:pPr>
        <w:pStyle w:val="NormalWeb"/>
        <w:shd w:val="clear" w:color="auto" w:fill="FFFFFF"/>
        <w:spacing w:before="100" w:beforeAutospacing="1" w:after="100" w:afterAutospacing="1" w:line="360" w:lineRule="auto"/>
        <w:jc w:val="both"/>
      </w:pPr>
      <w:r w:rsidRPr="00A70C7E">
        <w:t>The Environmental Studies minor</w:t>
      </w:r>
      <w:r w:rsidR="00A70C7E">
        <w:rPr>
          <w:rStyle w:val="apple-style-span"/>
        </w:rPr>
        <w:t xml:space="preserve"> </w:t>
      </w:r>
      <w:r w:rsidRPr="00A70C7E">
        <w:rPr>
          <w:rStyle w:val="apple-style-span"/>
        </w:rPr>
        <w:t>draws ideas and information from a wide array of fields such as anthropology, public policy, political science, economics, geography, geology, history, philosophy, psychology, sociology, biology, engineering, health science, and chemistry.</w:t>
      </w:r>
    </w:p>
    <w:p w:rsidR="005210BD" w:rsidRPr="00A70C7E" w:rsidRDefault="005210BD" w:rsidP="003F0886">
      <w:pPr>
        <w:spacing w:before="100" w:beforeAutospacing="1" w:after="100" w:afterAutospacing="1" w:line="360" w:lineRule="auto"/>
        <w:jc w:val="both"/>
        <w:rPr>
          <w:b/>
        </w:rPr>
      </w:pPr>
      <w:smartTag w:uri="urn:schemas-microsoft-com:office:smarttags" w:element="City">
        <w:smartTag w:uri="urn:schemas-microsoft-com:office:smarttags" w:element="place">
          <w:r w:rsidRPr="00A70C7E">
            <w:rPr>
              <w:b/>
            </w:rPr>
            <w:t>Mission</w:t>
          </w:r>
        </w:smartTag>
      </w:smartTag>
      <w:r w:rsidRPr="00A70C7E">
        <w:rPr>
          <w:b/>
        </w:rPr>
        <w:t>:</w:t>
      </w:r>
    </w:p>
    <w:p w:rsidR="005B54BF" w:rsidRPr="00A70C7E" w:rsidRDefault="005B54BF" w:rsidP="003F0886">
      <w:pPr>
        <w:pStyle w:val="NormalWeb"/>
        <w:shd w:val="clear" w:color="auto" w:fill="FFFFFF"/>
        <w:spacing w:before="100" w:beforeAutospacing="1" w:after="100" w:afterAutospacing="1" w:line="360" w:lineRule="auto"/>
        <w:jc w:val="both"/>
      </w:pPr>
      <w:r w:rsidRPr="00A70C7E">
        <w:rPr>
          <w:rStyle w:val="apple-style-span"/>
        </w:rPr>
        <w:t>The Environmental Studies minor is designed to provide a broad interdisciplinary understanding of environmental issues for students in any major. Courses in the program will prepare students to develop effective, practical ways to address sustainability and environmental concerns.</w:t>
      </w:r>
    </w:p>
    <w:p w:rsidR="005210BD" w:rsidRPr="00A70C7E" w:rsidRDefault="005210BD" w:rsidP="003F0886">
      <w:pPr>
        <w:spacing w:before="100" w:beforeAutospacing="1" w:after="100" w:afterAutospacing="1" w:line="360" w:lineRule="auto"/>
        <w:jc w:val="both"/>
        <w:rPr>
          <w:b/>
        </w:rPr>
      </w:pPr>
      <w:r w:rsidRPr="00A70C7E">
        <w:rPr>
          <w:b/>
        </w:rPr>
        <w:t>Vision</w:t>
      </w:r>
    </w:p>
    <w:p w:rsidR="005B54BF" w:rsidRPr="00A70C7E" w:rsidRDefault="005B54BF" w:rsidP="003F0886">
      <w:pPr>
        <w:pStyle w:val="NormalWeb"/>
        <w:spacing w:before="100" w:beforeAutospacing="1" w:after="100" w:afterAutospacing="1" w:line="360" w:lineRule="auto"/>
        <w:jc w:val="both"/>
      </w:pPr>
      <w:r w:rsidRPr="00A70C7E">
        <w:t xml:space="preserve">Guided by the ideals of liberal education, the Environmental Studies program exemplifies the </w:t>
      </w:r>
      <w:r w:rsidR="00CB3CB3">
        <w:t>U</w:t>
      </w:r>
      <w:r w:rsidRPr="00A70C7E">
        <w:t>niversity and Brooks College of Interdisciplinary Studies mission by serving as the nexus for transformative interdisciplinary teaching, engaged learning, and exemplary scholarship for GVSU and the larger community.</w:t>
      </w:r>
    </w:p>
    <w:p w:rsidR="005B54BF" w:rsidRPr="00A70C7E" w:rsidRDefault="005B54BF" w:rsidP="003F0886">
      <w:pPr>
        <w:pStyle w:val="NormalWeb"/>
        <w:spacing w:before="100" w:beforeAutospacing="1" w:after="100" w:afterAutospacing="1" w:line="360" w:lineRule="auto"/>
        <w:jc w:val="both"/>
      </w:pPr>
      <w:r w:rsidRPr="00A70C7E">
        <w:t>The Environmental Studies Program at GVSU</w:t>
      </w:r>
    </w:p>
    <w:p w:rsidR="005B54BF" w:rsidRPr="00A70C7E" w:rsidRDefault="005B54BF" w:rsidP="003F0886">
      <w:pPr>
        <w:numPr>
          <w:ilvl w:val="0"/>
          <w:numId w:val="26"/>
        </w:numPr>
        <w:spacing w:before="100" w:beforeAutospacing="1" w:after="100" w:afterAutospacing="1" w:line="360" w:lineRule="auto"/>
        <w:jc w:val="both"/>
      </w:pPr>
      <w:r w:rsidRPr="00A70C7E">
        <w:t>Facilitates and fosters collaborative, interdisciplinary teaching and learning about environmental and sustainability issues.</w:t>
      </w:r>
    </w:p>
    <w:p w:rsidR="005B54BF" w:rsidRPr="00A70C7E" w:rsidRDefault="005B54BF" w:rsidP="003F0886">
      <w:pPr>
        <w:numPr>
          <w:ilvl w:val="0"/>
          <w:numId w:val="27"/>
        </w:numPr>
        <w:spacing w:before="100" w:beforeAutospacing="1" w:after="100" w:afterAutospacing="1" w:line="360" w:lineRule="auto"/>
        <w:jc w:val="both"/>
      </w:pPr>
      <w:r w:rsidRPr="00A70C7E">
        <w:lastRenderedPageBreak/>
        <w:t xml:space="preserve">Models inclusion and change for the university, by connecting with local, national and global communities through environmental projects and partnerships. </w:t>
      </w:r>
    </w:p>
    <w:p w:rsidR="005B54BF" w:rsidRPr="00A70C7E" w:rsidRDefault="005B54BF" w:rsidP="003F0886">
      <w:pPr>
        <w:numPr>
          <w:ilvl w:val="0"/>
          <w:numId w:val="28"/>
        </w:numPr>
        <w:spacing w:before="100" w:beforeAutospacing="1" w:after="100" w:afterAutospacing="1" w:line="360" w:lineRule="auto"/>
        <w:jc w:val="both"/>
      </w:pPr>
      <w:r w:rsidRPr="00A70C7E">
        <w:t xml:space="preserve">Creates, promotes, and supports experiential service-learning and civic engagement opportunities. </w:t>
      </w:r>
    </w:p>
    <w:p w:rsidR="005B54BF" w:rsidRPr="00A70C7E" w:rsidRDefault="005B54BF" w:rsidP="003F0886">
      <w:pPr>
        <w:numPr>
          <w:ilvl w:val="0"/>
          <w:numId w:val="30"/>
        </w:numPr>
        <w:spacing w:before="100" w:beforeAutospacing="1" w:after="100" w:afterAutospacing="1" w:line="360" w:lineRule="auto"/>
        <w:jc w:val="both"/>
      </w:pPr>
      <w:r w:rsidRPr="00A70C7E">
        <w:t>Encourages collaborative, interdisciplinary environmental research involving faculty and students from various departments and colleges, as well as community partners.</w:t>
      </w:r>
    </w:p>
    <w:p w:rsidR="005210BD" w:rsidRPr="00A70C7E" w:rsidRDefault="005210BD" w:rsidP="003F0886">
      <w:pPr>
        <w:spacing w:before="100" w:beforeAutospacing="1" w:after="100" w:afterAutospacing="1" w:line="360" w:lineRule="auto"/>
        <w:jc w:val="both"/>
      </w:pPr>
      <w:r w:rsidRPr="00A70C7E">
        <w:rPr>
          <w:rStyle w:val="Strong"/>
        </w:rPr>
        <w:t>Values:</w:t>
      </w:r>
    </w:p>
    <w:p w:rsidR="005210BD" w:rsidRPr="00A70C7E" w:rsidRDefault="005210BD" w:rsidP="003F0886">
      <w:pPr>
        <w:spacing w:before="100" w:beforeAutospacing="1" w:after="100" w:afterAutospacing="1" w:line="360" w:lineRule="auto"/>
        <w:jc w:val="both"/>
      </w:pPr>
      <w:r w:rsidRPr="00A70C7E">
        <w:t>We value:</w:t>
      </w:r>
    </w:p>
    <w:p w:rsidR="005210BD" w:rsidRPr="00A70C7E" w:rsidRDefault="005210BD" w:rsidP="003F088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A70C7E">
        <w:t xml:space="preserve">Building communities that ensure </w:t>
      </w:r>
      <w:r w:rsidR="005B54BF" w:rsidRPr="00A70C7E">
        <w:t>sustainable development and environmental justice</w:t>
      </w:r>
      <w:r w:rsidRPr="00A70C7E">
        <w:t xml:space="preserve"> </w:t>
      </w:r>
    </w:p>
    <w:p w:rsidR="005210BD" w:rsidRPr="00A70C7E" w:rsidRDefault="005210BD" w:rsidP="003F088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A70C7E">
        <w:t>Interdisciplinary approaches to teaching and research</w:t>
      </w:r>
    </w:p>
    <w:p w:rsidR="005210BD" w:rsidRPr="00A70C7E" w:rsidRDefault="005210BD" w:rsidP="003F088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A70C7E">
        <w:t>Liberal education and academic excellence in learning, teaching, and research</w:t>
      </w:r>
    </w:p>
    <w:p w:rsidR="005210BD" w:rsidRPr="00A70C7E" w:rsidRDefault="005210BD" w:rsidP="003F088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A70C7E">
        <w:t>Rigorous scholarship by faculty and students as a foundation for teaching, learning, vocation, and civic life</w:t>
      </w:r>
    </w:p>
    <w:p w:rsidR="005210BD" w:rsidRPr="00A70C7E" w:rsidRDefault="005210BD" w:rsidP="003F088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A70C7E">
        <w:t>Diverse, innovative and effective teaching</w:t>
      </w:r>
    </w:p>
    <w:p w:rsidR="005210BD" w:rsidRPr="00A70C7E" w:rsidRDefault="005210BD" w:rsidP="003F088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A70C7E">
        <w:t>Assessment as a means to evaluate and improve student learning</w:t>
      </w:r>
    </w:p>
    <w:p w:rsidR="005210BD" w:rsidRPr="00A70C7E" w:rsidRDefault="005210BD" w:rsidP="003F088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A70C7E">
        <w:t>Culture of collegiality and collaboration</w:t>
      </w:r>
    </w:p>
    <w:p w:rsidR="005210BD" w:rsidRPr="00A70C7E" w:rsidRDefault="005210BD" w:rsidP="003F088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A70C7E">
        <w:t>Diversity, civic discourse, and democratic communities</w:t>
      </w:r>
    </w:p>
    <w:p w:rsidR="005210BD" w:rsidRPr="00A70C7E" w:rsidRDefault="005210BD" w:rsidP="003F088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A70C7E">
        <w:t>Experiential learning</w:t>
      </w:r>
    </w:p>
    <w:p w:rsidR="005210BD" w:rsidRPr="00A70C7E" w:rsidRDefault="005210BD" w:rsidP="003F0886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A70C7E">
        <w:t>International perspectives and experiences</w:t>
      </w:r>
    </w:p>
    <w:p w:rsidR="005210BD" w:rsidRPr="00A70C7E" w:rsidRDefault="009254BB" w:rsidP="003F0886">
      <w:pPr>
        <w:spacing w:before="100" w:beforeAutospacing="1" w:after="100" w:afterAutospacing="1" w:line="360" w:lineRule="auto"/>
        <w:jc w:val="both"/>
      </w:pPr>
      <w:r w:rsidRPr="00A70C7E">
        <w:rPr>
          <w:rStyle w:val="Strong"/>
        </w:rPr>
        <w:t xml:space="preserve">Long-term </w:t>
      </w:r>
      <w:r w:rsidR="005210BD" w:rsidRPr="00A70C7E">
        <w:rPr>
          <w:rStyle w:val="Strong"/>
        </w:rPr>
        <w:t>Program Goals</w:t>
      </w:r>
      <w:r w:rsidR="002E4AA4">
        <w:rPr>
          <w:rStyle w:val="Strong"/>
        </w:rPr>
        <w:t xml:space="preserve"> and Objectives</w:t>
      </w:r>
      <w:r w:rsidR="005210BD" w:rsidRPr="00A70C7E">
        <w:rPr>
          <w:rStyle w:val="Strong"/>
        </w:rPr>
        <w:t>:</w:t>
      </w:r>
    </w:p>
    <w:p w:rsidR="005210BD" w:rsidRPr="00A70C7E" w:rsidRDefault="005210BD" w:rsidP="003F088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A70C7E">
        <w:lastRenderedPageBreak/>
        <w:t xml:space="preserve">Achieve program excellence in the Midwest </w:t>
      </w:r>
    </w:p>
    <w:p w:rsidR="005210BD" w:rsidRPr="00A70C7E" w:rsidRDefault="005B54BF" w:rsidP="003F088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A70C7E">
        <w:t xml:space="preserve">Develop an undergraduate certificate in Food </w:t>
      </w:r>
      <w:r w:rsidR="003F0886">
        <w:t xml:space="preserve">and </w:t>
      </w:r>
      <w:r w:rsidRPr="00A70C7E">
        <w:t>Agricultural Studies</w:t>
      </w:r>
    </w:p>
    <w:p w:rsidR="003F0886" w:rsidRDefault="005B54BF" w:rsidP="003F088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A70C7E">
        <w:t>Develop an undergraduate certificate in Climate Change Studies</w:t>
      </w:r>
    </w:p>
    <w:p w:rsidR="005B54BF" w:rsidRPr="00A70C7E" w:rsidRDefault="005B54BF" w:rsidP="003F088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A70C7E">
        <w:t>Develop an undergraduate certificate in Fresh Water Studies</w:t>
      </w:r>
    </w:p>
    <w:p w:rsidR="005B54BF" w:rsidRPr="00A70C7E" w:rsidRDefault="005B54BF" w:rsidP="003F088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A70C7E">
        <w:t>Develop a graduate certificate in Environmental and Sustainability Studies</w:t>
      </w:r>
    </w:p>
    <w:p w:rsidR="005210BD" w:rsidRPr="00A70C7E" w:rsidRDefault="005210BD" w:rsidP="003F088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A70C7E">
        <w:t xml:space="preserve">Increase partnerships with other departments and with external </w:t>
      </w:r>
      <w:r w:rsidR="003F0886">
        <w:t xml:space="preserve">environmental </w:t>
      </w:r>
      <w:r w:rsidRPr="00A70C7E">
        <w:t xml:space="preserve">agencies and programs </w:t>
      </w:r>
    </w:p>
    <w:p w:rsidR="005210BD" w:rsidRPr="00A70C7E" w:rsidRDefault="005210BD" w:rsidP="003F088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A70C7E">
        <w:t xml:space="preserve">Ensure that </w:t>
      </w:r>
      <w:r w:rsidR="005B54BF" w:rsidRPr="00A70C7E">
        <w:t xml:space="preserve">environmental </w:t>
      </w:r>
      <w:r w:rsidRPr="00A70C7E">
        <w:t xml:space="preserve">education is a part of general education </w:t>
      </w:r>
    </w:p>
    <w:p w:rsidR="005210BD" w:rsidRPr="00A70C7E" w:rsidRDefault="005210BD" w:rsidP="003F088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A70C7E">
        <w:t xml:space="preserve">Increase the diversity of </w:t>
      </w:r>
      <w:r w:rsidR="005B54BF" w:rsidRPr="00A70C7E">
        <w:t>ENS</w:t>
      </w:r>
      <w:r w:rsidRPr="00A70C7E">
        <w:t xml:space="preserve"> faculty and students </w:t>
      </w:r>
    </w:p>
    <w:p w:rsidR="005210BD" w:rsidRPr="00A70C7E" w:rsidRDefault="005210BD" w:rsidP="003F088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A70C7E">
        <w:t xml:space="preserve">Establish </w:t>
      </w:r>
      <w:r w:rsidR="005B54BF" w:rsidRPr="00A70C7E">
        <w:t>a Center/Institute for Environmental Studies</w:t>
      </w:r>
      <w:r w:rsidR="003F0886">
        <w:t xml:space="preserve"> at GVSU</w:t>
      </w:r>
    </w:p>
    <w:p w:rsidR="005B54BF" w:rsidRPr="00A70C7E" w:rsidRDefault="005B54BF" w:rsidP="003F088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A70C7E">
        <w:t>Attract external grants to promote  interdisciplinary environmental education and undergraduate research at GVSU</w:t>
      </w:r>
    </w:p>
    <w:p w:rsidR="003C6724" w:rsidRPr="003F0886" w:rsidRDefault="005210BD" w:rsidP="003F088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A70C7E">
        <w:t>Achieve reputation on campus</w:t>
      </w:r>
      <w:r>
        <w:t xml:space="preserve"> and in </w:t>
      </w:r>
      <w:smartTag w:uri="urn:schemas-microsoft-com:office:smarttags" w:element="place">
        <w:r>
          <w:t>Midwest</w:t>
        </w:r>
      </w:smartTag>
      <w:r>
        <w:t xml:space="preserve"> as a </w:t>
      </w:r>
      <w:r w:rsidR="005B54BF">
        <w:t xml:space="preserve">leading center for </w:t>
      </w:r>
      <w:r w:rsidR="003F0886">
        <w:t xml:space="preserve">environmental </w:t>
      </w:r>
      <w:r w:rsidR="005B54BF">
        <w:t>education and undergraduate research</w:t>
      </w:r>
      <w:r w:rsidR="00A70C7E">
        <w:t>.</w:t>
      </w:r>
    </w:p>
    <w:tbl>
      <w:tblPr>
        <w:tblStyle w:val="TableGrid"/>
        <w:tblW w:w="13313" w:type="dxa"/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440"/>
        <w:gridCol w:w="1546"/>
        <w:gridCol w:w="1064"/>
        <w:gridCol w:w="1086"/>
        <w:gridCol w:w="912"/>
        <w:gridCol w:w="1443"/>
        <w:gridCol w:w="1390"/>
        <w:gridCol w:w="1203"/>
        <w:gridCol w:w="1141"/>
      </w:tblGrid>
      <w:tr w:rsidR="00611EF9" w:rsidRPr="0069375A" w:rsidTr="005032FF">
        <w:tc>
          <w:tcPr>
            <w:tcW w:w="828" w:type="dxa"/>
          </w:tcPr>
          <w:p w:rsidR="00611EF9" w:rsidRPr="0069375A" w:rsidRDefault="00611EF9" w:rsidP="00FE7368">
            <w:pPr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University Objective</w:t>
            </w:r>
          </w:p>
        </w:tc>
        <w:tc>
          <w:tcPr>
            <w:tcW w:w="1260" w:type="dxa"/>
          </w:tcPr>
          <w:p w:rsidR="00611EF9" w:rsidRPr="0069375A" w:rsidRDefault="00611EF9" w:rsidP="00FE7368">
            <w:pPr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BCOIS goal/</w:t>
            </w:r>
          </w:p>
          <w:p w:rsidR="00611EF9" w:rsidRPr="0069375A" w:rsidRDefault="00611EF9" w:rsidP="00FE7368">
            <w:pPr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objective</w:t>
            </w:r>
          </w:p>
        </w:tc>
        <w:tc>
          <w:tcPr>
            <w:tcW w:w="1440" w:type="dxa"/>
          </w:tcPr>
          <w:p w:rsidR="00611EF9" w:rsidRPr="0069375A" w:rsidRDefault="00611EF9" w:rsidP="00611EF9">
            <w:pPr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ENS goal</w:t>
            </w:r>
          </w:p>
        </w:tc>
        <w:tc>
          <w:tcPr>
            <w:tcW w:w="1546" w:type="dxa"/>
          </w:tcPr>
          <w:p w:rsidR="00611EF9" w:rsidRPr="0069375A" w:rsidRDefault="00611EF9" w:rsidP="00FE7368">
            <w:pPr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ENS objective</w:t>
            </w:r>
          </w:p>
        </w:tc>
        <w:tc>
          <w:tcPr>
            <w:tcW w:w="1064" w:type="dxa"/>
          </w:tcPr>
          <w:p w:rsidR="00611EF9" w:rsidRPr="0069375A" w:rsidRDefault="00611EF9" w:rsidP="00FE7368">
            <w:pPr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Metric</w:t>
            </w:r>
          </w:p>
        </w:tc>
        <w:tc>
          <w:tcPr>
            <w:tcW w:w="1086" w:type="dxa"/>
          </w:tcPr>
          <w:p w:rsidR="00611EF9" w:rsidRPr="0069375A" w:rsidRDefault="00611EF9" w:rsidP="00FE7368">
            <w:pPr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Baseline</w:t>
            </w:r>
          </w:p>
        </w:tc>
        <w:tc>
          <w:tcPr>
            <w:tcW w:w="912" w:type="dxa"/>
          </w:tcPr>
          <w:p w:rsidR="00611EF9" w:rsidRPr="0069375A" w:rsidRDefault="00611EF9" w:rsidP="00FE7368">
            <w:pPr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Time-frame</w:t>
            </w:r>
          </w:p>
        </w:tc>
        <w:tc>
          <w:tcPr>
            <w:tcW w:w="1443" w:type="dxa"/>
          </w:tcPr>
          <w:p w:rsidR="00611EF9" w:rsidRPr="0069375A" w:rsidRDefault="00611EF9" w:rsidP="00FE7368">
            <w:pPr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Strategy(ies)</w:t>
            </w:r>
          </w:p>
        </w:tc>
        <w:tc>
          <w:tcPr>
            <w:tcW w:w="1390" w:type="dxa"/>
          </w:tcPr>
          <w:p w:rsidR="00611EF9" w:rsidRPr="0069375A" w:rsidRDefault="00611EF9" w:rsidP="00FE7368">
            <w:pPr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Responsible group</w:t>
            </w:r>
          </w:p>
        </w:tc>
        <w:tc>
          <w:tcPr>
            <w:tcW w:w="1203" w:type="dxa"/>
          </w:tcPr>
          <w:p w:rsidR="00611EF9" w:rsidRPr="0069375A" w:rsidRDefault="00611EF9" w:rsidP="00FE7368">
            <w:pPr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Resources</w:t>
            </w:r>
          </w:p>
        </w:tc>
        <w:tc>
          <w:tcPr>
            <w:tcW w:w="1141" w:type="dxa"/>
          </w:tcPr>
          <w:p w:rsidR="00611EF9" w:rsidRPr="0069375A" w:rsidRDefault="00611EF9" w:rsidP="00FE7368">
            <w:pPr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Status</w:t>
            </w:r>
          </w:p>
        </w:tc>
      </w:tr>
      <w:tr w:rsidR="00611EF9" w:rsidRPr="0069375A" w:rsidTr="005032FF">
        <w:tc>
          <w:tcPr>
            <w:tcW w:w="828" w:type="dxa"/>
          </w:tcPr>
          <w:p w:rsidR="00BD25F4" w:rsidRPr="0069375A" w:rsidRDefault="00BD25F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2.1</w:t>
            </w:r>
          </w:p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3.3</w:t>
            </w:r>
          </w:p>
          <w:p w:rsidR="000472E9" w:rsidRPr="0069375A" w:rsidRDefault="000472E9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3.5</w:t>
            </w:r>
          </w:p>
          <w:p w:rsidR="000472E9" w:rsidRPr="0069375A" w:rsidRDefault="000472E9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3.6</w:t>
            </w:r>
          </w:p>
        </w:tc>
        <w:tc>
          <w:tcPr>
            <w:tcW w:w="1260" w:type="dxa"/>
          </w:tcPr>
          <w:p w:rsidR="00611EF9" w:rsidRPr="0069375A" w:rsidRDefault="00BD25F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2.1</w:t>
            </w:r>
          </w:p>
          <w:p w:rsidR="00BD25F4" w:rsidRPr="0069375A" w:rsidRDefault="00BD25F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2.2</w:t>
            </w:r>
          </w:p>
        </w:tc>
        <w:tc>
          <w:tcPr>
            <w:tcW w:w="1440" w:type="dxa"/>
          </w:tcPr>
          <w:p w:rsidR="00611EF9" w:rsidRPr="0069375A" w:rsidRDefault="002E4AA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1.</w:t>
            </w:r>
            <w:r w:rsidR="00611EF9" w:rsidRPr="0069375A">
              <w:rPr>
                <w:sz w:val="20"/>
                <w:szCs w:val="20"/>
              </w:rPr>
              <w:t>Achieve program excellence in the Midwest</w:t>
            </w:r>
          </w:p>
        </w:tc>
        <w:tc>
          <w:tcPr>
            <w:tcW w:w="1546" w:type="dxa"/>
          </w:tcPr>
          <w:p w:rsidR="002E4AA4" w:rsidRPr="0069375A" w:rsidRDefault="002E4AA4" w:rsidP="002E4AA4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1.1 Broaden ENS minor curriculum</w:t>
            </w:r>
          </w:p>
          <w:p w:rsidR="002E4AA4" w:rsidRPr="0069375A" w:rsidRDefault="002E4AA4" w:rsidP="002E4AA4">
            <w:pPr>
              <w:pStyle w:val="NoSpacing"/>
              <w:rPr>
                <w:sz w:val="20"/>
                <w:szCs w:val="20"/>
              </w:rPr>
            </w:pPr>
          </w:p>
          <w:p w:rsidR="002E4AA4" w:rsidRPr="0069375A" w:rsidRDefault="002E4AA4" w:rsidP="002E4AA4">
            <w:pPr>
              <w:pStyle w:val="NoSpacing"/>
              <w:rPr>
                <w:sz w:val="20"/>
                <w:szCs w:val="20"/>
              </w:rPr>
            </w:pPr>
          </w:p>
          <w:p w:rsidR="00611EF9" w:rsidRPr="0069375A" w:rsidRDefault="00611EF9" w:rsidP="002E4A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611EF9" w:rsidRPr="0069375A" w:rsidRDefault="002E4AA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Number of courses in ENS minor</w:t>
            </w:r>
          </w:p>
        </w:tc>
        <w:tc>
          <w:tcPr>
            <w:tcW w:w="1086" w:type="dxa"/>
          </w:tcPr>
          <w:p w:rsidR="00611EF9" w:rsidRDefault="002E4AA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Fall 2009</w:t>
            </w:r>
          </w:p>
          <w:p w:rsidR="00C829CF" w:rsidRDefault="00C829CF" w:rsidP="00611E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ENS</w:t>
            </w:r>
          </w:p>
          <w:p w:rsidR="00C829CF" w:rsidRPr="0069375A" w:rsidRDefault="00C829CF" w:rsidP="00611E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courses from other</w:t>
            </w:r>
          </w:p>
        </w:tc>
        <w:tc>
          <w:tcPr>
            <w:tcW w:w="912" w:type="dxa"/>
          </w:tcPr>
          <w:p w:rsidR="00611EF9" w:rsidRPr="0069375A" w:rsidRDefault="002E4AA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2010-2015</w:t>
            </w:r>
          </w:p>
        </w:tc>
        <w:tc>
          <w:tcPr>
            <w:tcW w:w="1443" w:type="dxa"/>
          </w:tcPr>
          <w:p w:rsidR="00611EF9" w:rsidRPr="0069375A" w:rsidRDefault="000472E9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hire more faculty</w:t>
            </w:r>
          </w:p>
        </w:tc>
        <w:tc>
          <w:tcPr>
            <w:tcW w:w="1390" w:type="dxa"/>
          </w:tcPr>
          <w:p w:rsidR="00611EF9" w:rsidRPr="0069375A" w:rsidRDefault="002E4AA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ENS faculty and ENS advisory board</w:t>
            </w:r>
          </w:p>
        </w:tc>
        <w:tc>
          <w:tcPr>
            <w:tcW w:w="1203" w:type="dxa"/>
          </w:tcPr>
          <w:p w:rsidR="00611EF9" w:rsidRPr="0069375A" w:rsidRDefault="002E4AA4" w:rsidP="000472E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New faculty</w:t>
            </w:r>
          </w:p>
          <w:p w:rsidR="000472E9" w:rsidRPr="0069375A" w:rsidRDefault="000472E9" w:rsidP="000472E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Joint appointments</w:t>
            </w:r>
          </w:p>
        </w:tc>
        <w:tc>
          <w:tcPr>
            <w:tcW w:w="1141" w:type="dxa"/>
          </w:tcPr>
          <w:p w:rsidR="00611EF9" w:rsidRPr="0069375A" w:rsidRDefault="002E4AA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In progress</w:t>
            </w:r>
          </w:p>
        </w:tc>
      </w:tr>
      <w:tr w:rsidR="00611EF9" w:rsidRPr="0069375A" w:rsidTr="005032FF">
        <w:tc>
          <w:tcPr>
            <w:tcW w:w="828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1EF9" w:rsidRPr="0069375A" w:rsidRDefault="00BD25F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1.4</w:t>
            </w:r>
          </w:p>
        </w:tc>
        <w:tc>
          <w:tcPr>
            <w:tcW w:w="1440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611EF9" w:rsidRPr="0069375A" w:rsidRDefault="002E4AA4" w:rsidP="002E4AA4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1.2 Develop opportunities for undergraduate research</w:t>
            </w:r>
          </w:p>
        </w:tc>
        <w:tc>
          <w:tcPr>
            <w:tcW w:w="1064" w:type="dxa"/>
          </w:tcPr>
          <w:p w:rsidR="00611EF9" w:rsidRPr="0069375A" w:rsidRDefault="000472E9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Number of students involved in research projects</w:t>
            </w:r>
          </w:p>
        </w:tc>
        <w:tc>
          <w:tcPr>
            <w:tcW w:w="1086" w:type="dxa"/>
          </w:tcPr>
          <w:p w:rsidR="00611EF9" w:rsidRDefault="002E4AA4" w:rsidP="002E4AA4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2009</w:t>
            </w:r>
          </w:p>
          <w:p w:rsidR="00C829CF" w:rsidRPr="0069375A" w:rsidRDefault="00C829CF" w:rsidP="002E4AA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912" w:type="dxa"/>
          </w:tcPr>
          <w:p w:rsidR="00611EF9" w:rsidRPr="0069375A" w:rsidRDefault="002E4AA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2010-2015</w:t>
            </w:r>
          </w:p>
        </w:tc>
        <w:tc>
          <w:tcPr>
            <w:tcW w:w="1443" w:type="dxa"/>
          </w:tcPr>
          <w:p w:rsidR="00611EF9" w:rsidRPr="0069375A" w:rsidRDefault="000472E9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Attract grants</w:t>
            </w:r>
          </w:p>
          <w:p w:rsidR="000472E9" w:rsidRPr="0069375A" w:rsidRDefault="000472E9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Increase baseline resources</w:t>
            </w:r>
          </w:p>
        </w:tc>
        <w:tc>
          <w:tcPr>
            <w:tcW w:w="1390" w:type="dxa"/>
          </w:tcPr>
          <w:p w:rsidR="00611EF9" w:rsidRPr="0069375A" w:rsidRDefault="000472E9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Director and faculty</w:t>
            </w:r>
          </w:p>
        </w:tc>
        <w:tc>
          <w:tcPr>
            <w:tcW w:w="1203" w:type="dxa"/>
          </w:tcPr>
          <w:p w:rsidR="00611EF9" w:rsidRPr="0069375A" w:rsidRDefault="000472E9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Space</w:t>
            </w:r>
          </w:p>
          <w:p w:rsidR="000472E9" w:rsidRPr="0069375A" w:rsidRDefault="000472E9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Equipment</w:t>
            </w:r>
          </w:p>
          <w:p w:rsidR="000472E9" w:rsidRPr="0069375A" w:rsidRDefault="000472E9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Computer lab dedicated to ENS</w:t>
            </w:r>
          </w:p>
        </w:tc>
        <w:tc>
          <w:tcPr>
            <w:tcW w:w="1141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</w:tr>
      <w:tr w:rsidR="00611EF9" w:rsidRPr="0069375A" w:rsidTr="005032FF">
        <w:tc>
          <w:tcPr>
            <w:tcW w:w="828" w:type="dxa"/>
          </w:tcPr>
          <w:p w:rsidR="00611EF9" w:rsidRPr="0069375A" w:rsidRDefault="00BD25F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3.4</w:t>
            </w:r>
          </w:p>
          <w:p w:rsidR="00BD25F4" w:rsidRPr="0069375A" w:rsidRDefault="00BD25F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3.6</w:t>
            </w:r>
          </w:p>
        </w:tc>
        <w:tc>
          <w:tcPr>
            <w:tcW w:w="1260" w:type="dxa"/>
          </w:tcPr>
          <w:p w:rsidR="00611EF9" w:rsidRPr="0069375A" w:rsidRDefault="00BD25F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3.4.1</w:t>
            </w:r>
          </w:p>
        </w:tc>
        <w:tc>
          <w:tcPr>
            <w:tcW w:w="1440" w:type="dxa"/>
          </w:tcPr>
          <w:p w:rsidR="00611EF9" w:rsidRPr="0069375A" w:rsidRDefault="00BD25F4" w:rsidP="00BD25F4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 xml:space="preserve">2. Community engagement </w:t>
            </w:r>
          </w:p>
        </w:tc>
        <w:tc>
          <w:tcPr>
            <w:tcW w:w="1546" w:type="dxa"/>
          </w:tcPr>
          <w:p w:rsidR="00611EF9" w:rsidRPr="0069375A" w:rsidRDefault="00BD25F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 xml:space="preserve">2.1 All ENS students will </w:t>
            </w:r>
            <w:r w:rsidRPr="0069375A">
              <w:rPr>
                <w:sz w:val="20"/>
                <w:szCs w:val="20"/>
              </w:rPr>
              <w:lastRenderedPageBreak/>
              <w:t>participate in service-learning and community-based research</w:t>
            </w:r>
          </w:p>
        </w:tc>
        <w:tc>
          <w:tcPr>
            <w:tcW w:w="1064" w:type="dxa"/>
          </w:tcPr>
          <w:p w:rsidR="00B42780" w:rsidRPr="0069375A" w:rsidRDefault="00B42780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lastRenderedPageBreak/>
              <w:t xml:space="preserve">Number of </w:t>
            </w:r>
            <w:r w:rsidRPr="0069375A">
              <w:rPr>
                <w:sz w:val="20"/>
                <w:szCs w:val="20"/>
              </w:rPr>
              <w:lastRenderedPageBreak/>
              <w:t>students in ENS401;</w:t>
            </w:r>
          </w:p>
          <w:p w:rsidR="00B42780" w:rsidRPr="0069375A" w:rsidRDefault="00B42780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Number of internships</w:t>
            </w:r>
          </w:p>
        </w:tc>
        <w:tc>
          <w:tcPr>
            <w:tcW w:w="1086" w:type="dxa"/>
          </w:tcPr>
          <w:p w:rsidR="00611EF9" w:rsidRDefault="00B42780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lastRenderedPageBreak/>
              <w:t>2009</w:t>
            </w:r>
          </w:p>
          <w:p w:rsidR="00C829CF" w:rsidRPr="0069375A" w:rsidRDefault="00C829CF" w:rsidP="00611E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912" w:type="dxa"/>
          </w:tcPr>
          <w:p w:rsidR="00611EF9" w:rsidRPr="0069375A" w:rsidRDefault="00B42780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2010-2015</w:t>
            </w:r>
          </w:p>
        </w:tc>
        <w:tc>
          <w:tcPr>
            <w:tcW w:w="1443" w:type="dxa"/>
          </w:tcPr>
          <w:p w:rsidR="00611EF9" w:rsidRPr="0069375A" w:rsidRDefault="00A6098B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 xml:space="preserve">Create more partnerships </w:t>
            </w:r>
            <w:r w:rsidRPr="0069375A">
              <w:rPr>
                <w:sz w:val="20"/>
                <w:szCs w:val="20"/>
              </w:rPr>
              <w:lastRenderedPageBreak/>
              <w:t>with the local environmental organizations.</w:t>
            </w:r>
          </w:p>
          <w:p w:rsidR="00A6098B" w:rsidRPr="0069375A" w:rsidRDefault="00A6098B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Attract service-learning grants</w:t>
            </w:r>
          </w:p>
        </w:tc>
        <w:tc>
          <w:tcPr>
            <w:tcW w:w="1390" w:type="dxa"/>
          </w:tcPr>
          <w:p w:rsidR="00611EF9" w:rsidRPr="0069375A" w:rsidRDefault="00A6098B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lastRenderedPageBreak/>
              <w:t>Director and faculty</w:t>
            </w:r>
          </w:p>
        </w:tc>
        <w:tc>
          <w:tcPr>
            <w:tcW w:w="1203" w:type="dxa"/>
          </w:tcPr>
          <w:p w:rsidR="00611EF9" w:rsidRPr="0069375A" w:rsidRDefault="00A6098B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 xml:space="preserve">Funding dedicated to </w:t>
            </w:r>
            <w:r w:rsidRPr="0069375A">
              <w:rPr>
                <w:sz w:val="20"/>
                <w:szCs w:val="20"/>
              </w:rPr>
              <w:lastRenderedPageBreak/>
              <w:t>service-learning projects,</w:t>
            </w:r>
          </w:p>
          <w:p w:rsidR="00A6098B" w:rsidRPr="0069375A" w:rsidRDefault="00A6098B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Faculty time</w:t>
            </w:r>
          </w:p>
        </w:tc>
        <w:tc>
          <w:tcPr>
            <w:tcW w:w="1141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</w:tr>
      <w:tr w:rsidR="00611EF9" w:rsidRPr="0069375A" w:rsidTr="005032FF">
        <w:tc>
          <w:tcPr>
            <w:tcW w:w="828" w:type="dxa"/>
          </w:tcPr>
          <w:p w:rsidR="00611EF9" w:rsidRPr="0069375A" w:rsidRDefault="00A6098B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lastRenderedPageBreak/>
              <w:t>4.4</w:t>
            </w:r>
          </w:p>
          <w:p w:rsidR="00A6098B" w:rsidRPr="0069375A" w:rsidRDefault="00A6098B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6.4</w:t>
            </w:r>
          </w:p>
        </w:tc>
        <w:tc>
          <w:tcPr>
            <w:tcW w:w="1260" w:type="dxa"/>
          </w:tcPr>
          <w:p w:rsidR="00611EF9" w:rsidRPr="0069375A" w:rsidRDefault="00A6098B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611EF9" w:rsidRPr="0069375A" w:rsidRDefault="00A6098B" w:rsidP="005032FF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 xml:space="preserve">3. Facilitate </w:t>
            </w:r>
            <w:r w:rsidR="005032FF" w:rsidRPr="0069375A">
              <w:rPr>
                <w:sz w:val="20"/>
                <w:szCs w:val="20"/>
              </w:rPr>
              <w:t xml:space="preserve">university-wide </w:t>
            </w:r>
            <w:r w:rsidRPr="0069375A">
              <w:rPr>
                <w:sz w:val="20"/>
                <w:szCs w:val="20"/>
              </w:rPr>
              <w:t xml:space="preserve">interdisciplinary </w:t>
            </w:r>
            <w:r w:rsidR="005032FF" w:rsidRPr="0069375A">
              <w:rPr>
                <w:sz w:val="20"/>
                <w:szCs w:val="20"/>
              </w:rPr>
              <w:t>collaborative research</w:t>
            </w:r>
          </w:p>
        </w:tc>
        <w:tc>
          <w:tcPr>
            <w:tcW w:w="1546" w:type="dxa"/>
          </w:tcPr>
          <w:p w:rsidR="00611EF9" w:rsidRPr="0069375A" w:rsidRDefault="005032FF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3.1 Create opportunities for environmental research and problem solving projects involving faculty and students from various departments</w:t>
            </w:r>
          </w:p>
        </w:tc>
        <w:tc>
          <w:tcPr>
            <w:tcW w:w="1064" w:type="dxa"/>
          </w:tcPr>
          <w:p w:rsidR="005032FF" w:rsidRPr="0069375A" w:rsidRDefault="005032FF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Number of collaborative projects and initiative.</w:t>
            </w:r>
          </w:p>
          <w:p w:rsidR="005032FF" w:rsidRPr="0069375A" w:rsidRDefault="005032FF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Number of interdisciplinary publications and grants</w:t>
            </w:r>
          </w:p>
        </w:tc>
        <w:tc>
          <w:tcPr>
            <w:tcW w:w="1086" w:type="dxa"/>
          </w:tcPr>
          <w:p w:rsidR="00611EF9" w:rsidRDefault="005032FF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2009</w:t>
            </w:r>
          </w:p>
          <w:p w:rsidR="00C829CF" w:rsidRPr="0069375A" w:rsidRDefault="00C829CF" w:rsidP="00611E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912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2010-2015</w:t>
            </w:r>
          </w:p>
        </w:tc>
        <w:tc>
          <w:tcPr>
            <w:tcW w:w="1443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Attract more internal and external grants</w:t>
            </w:r>
          </w:p>
        </w:tc>
        <w:tc>
          <w:tcPr>
            <w:tcW w:w="1390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All faculty involved</w:t>
            </w:r>
          </w:p>
        </w:tc>
        <w:tc>
          <w:tcPr>
            <w:tcW w:w="1203" w:type="dxa"/>
          </w:tcPr>
          <w:p w:rsidR="00611EF9" w:rsidRPr="0069375A" w:rsidRDefault="005032FF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Internal and external funding dedicated to research</w:t>
            </w:r>
          </w:p>
        </w:tc>
        <w:tc>
          <w:tcPr>
            <w:tcW w:w="1141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</w:tr>
      <w:tr w:rsidR="00611EF9" w:rsidRPr="0069375A" w:rsidTr="005032FF">
        <w:tc>
          <w:tcPr>
            <w:tcW w:w="828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611EF9" w:rsidRPr="0069375A" w:rsidRDefault="005032FF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3.2 Promote interdisciplinary team-teaching in ENS</w:t>
            </w:r>
          </w:p>
        </w:tc>
        <w:tc>
          <w:tcPr>
            <w:tcW w:w="1064" w:type="dxa"/>
          </w:tcPr>
          <w:p w:rsidR="00611EF9" w:rsidRPr="0069375A" w:rsidRDefault="005032FF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Number of team-taught courses;</w:t>
            </w:r>
          </w:p>
          <w:p w:rsidR="005032FF" w:rsidRPr="0069375A" w:rsidRDefault="005032FF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Number of faculty involved in team-teaching</w:t>
            </w:r>
          </w:p>
        </w:tc>
        <w:tc>
          <w:tcPr>
            <w:tcW w:w="1086" w:type="dxa"/>
          </w:tcPr>
          <w:p w:rsidR="00611EF9" w:rsidRDefault="005032FF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2009</w:t>
            </w:r>
          </w:p>
          <w:p w:rsidR="00C829CF" w:rsidRDefault="00C829CF" w:rsidP="00611E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team taught course.</w:t>
            </w:r>
          </w:p>
          <w:p w:rsidR="00C829CF" w:rsidRPr="0069375A" w:rsidRDefault="00C829CF" w:rsidP="00611E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faculty involved</w:t>
            </w:r>
          </w:p>
        </w:tc>
        <w:tc>
          <w:tcPr>
            <w:tcW w:w="912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2010-2015</w:t>
            </w:r>
          </w:p>
        </w:tc>
        <w:tc>
          <w:tcPr>
            <w:tcW w:w="1443" w:type="dxa"/>
          </w:tcPr>
          <w:p w:rsidR="005032FF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New joint appointments</w:t>
            </w:r>
          </w:p>
        </w:tc>
        <w:tc>
          <w:tcPr>
            <w:tcW w:w="1390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Director</w:t>
            </w:r>
          </w:p>
        </w:tc>
        <w:tc>
          <w:tcPr>
            <w:tcW w:w="1203" w:type="dxa"/>
          </w:tcPr>
          <w:p w:rsidR="005032FF" w:rsidRPr="0069375A" w:rsidRDefault="005032FF" w:rsidP="005032FF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Funding available to support team-teaching;</w:t>
            </w:r>
          </w:p>
          <w:p w:rsidR="00611EF9" w:rsidRPr="0069375A" w:rsidRDefault="005032FF" w:rsidP="005032FF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Joint appointments</w:t>
            </w:r>
          </w:p>
        </w:tc>
        <w:tc>
          <w:tcPr>
            <w:tcW w:w="1141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In progress</w:t>
            </w:r>
          </w:p>
        </w:tc>
      </w:tr>
      <w:tr w:rsidR="00611EF9" w:rsidRPr="0069375A" w:rsidTr="005032FF">
        <w:tc>
          <w:tcPr>
            <w:tcW w:w="828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1.14</w:t>
            </w:r>
          </w:p>
        </w:tc>
        <w:tc>
          <w:tcPr>
            <w:tcW w:w="1260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4. Establish academic leadership in environmentalsustainability on campus</w:t>
            </w:r>
          </w:p>
        </w:tc>
        <w:tc>
          <w:tcPr>
            <w:tcW w:w="1546" w:type="dxa"/>
          </w:tcPr>
          <w:p w:rsidR="00611EF9" w:rsidRPr="0069375A" w:rsidRDefault="001B4F84" w:rsidP="001B4F84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 xml:space="preserve">4.1 Develop robust and diverse sustainability-related curriculum in ENS </w:t>
            </w:r>
          </w:p>
        </w:tc>
        <w:tc>
          <w:tcPr>
            <w:tcW w:w="1064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Number of courses addressing sustainability issues;</w:t>
            </w:r>
          </w:p>
          <w:p w:rsidR="001B4F84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 xml:space="preserve">Number of students </w:t>
            </w:r>
            <w:r w:rsidRPr="0069375A">
              <w:rPr>
                <w:sz w:val="20"/>
                <w:szCs w:val="20"/>
              </w:rPr>
              <w:lastRenderedPageBreak/>
              <w:t>in ENS201 Environmental Studies and Sustainability;</w:t>
            </w:r>
          </w:p>
        </w:tc>
        <w:tc>
          <w:tcPr>
            <w:tcW w:w="1086" w:type="dxa"/>
          </w:tcPr>
          <w:p w:rsidR="00611EF9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lastRenderedPageBreak/>
              <w:t>2009</w:t>
            </w:r>
          </w:p>
          <w:p w:rsidR="00C829CF" w:rsidRPr="0069375A" w:rsidRDefault="00C829CF" w:rsidP="00611E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912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Develop new courses, involve more faculty</w:t>
            </w:r>
          </w:p>
        </w:tc>
        <w:tc>
          <w:tcPr>
            <w:tcW w:w="1443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In progress</w:t>
            </w:r>
          </w:p>
        </w:tc>
      </w:tr>
      <w:tr w:rsidR="00611EF9" w:rsidRPr="0069375A" w:rsidTr="005032FF">
        <w:tc>
          <w:tcPr>
            <w:tcW w:w="828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1EF9" w:rsidRPr="0069375A" w:rsidRDefault="00611EF9" w:rsidP="00611EF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4.2 Involve more faculty and students in sustainability-related projects</w:t>
            </w:r>
          </w:p>
        </w:tc>
        <w:tc>
          <w:tcPr>
            <w:tcW w:w="1064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Number of ENS student projects presented at CSW</w:t>
            </w:r>
          </w:p>
        </w:tc>
        <w:tc>
          <w:tcPr>
            <w:tcW w:w="1086" w:type="dxa"/>
          </w:tcPr>
          <w:p w:rsidR="00611EF9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2009</w:t>
            </w:r>
          </w:p>
          <w:p w:rsidR="00C829CF" w:rsidRPr="0069375A" w:rsidRDefault="00C829CF" w:rsidP="00611E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  <w:bookmarkStart w:id="0" w:name="_GoBack"/>
            <w:bookmarkEnd w:id="0"/>
          </w:p>
        </w:tc>
        <w:tc>
          <w:tcPr>
            <w:tcW w:w="912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2010-2015</w:t>
            </w:r>
          </w:p>
        </w:tc>
        <w:tc>
          <w:tcPr>
            <w:tcW w:w="1443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Curriculum development</w:t>
            </w:r>
          </w:p>
        </w:tc>
        <w:tc>
          <w:tcPr>
            <w:tcW w:w="1390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 xml:space="preserve">Director, faculty </w:t>
            </w:r>
          </w:p>
        </w:tc>
        <w:tc>
          <w:tcPr>
            <w:tcW w:w="1203" w:type="dxa"/>
          </w:tcPr>
          <w:p w:rsidR="00611EF9" w:rsidRPr="0069375A" w:rsidRDefault="001B4F84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>Equipment, space</w:t>
            </w:r>
          </w:p>
        </w:tc>
        <w:tc>
          <w:tcPr>
            <w:tcW w:w="1141" w:type="dxa"/>
          </w:tcPr>
          <w:p w:rsidR="00611EF9" w:rsidRPr="0069375A" w:rsidRDefault="00E47A5C" w:rsidP="00611EF9">
            <w:pPr>
              <w:pStyle w:val="NoSpacing"/>
              <w:rPr>
                <w:sz w:val="20"/>
                <w:szCs w:val="20"/>
              </w:rPr>
            </w:pPr>
            <w:r w:rsidRPr="0069375A">
              <w:rPr>
                <w:sz w:val="20"/>
                <w:szCs w:val="20"/>
              </w:rPr>
              <w:t xml:space="preserve">In </w:t>
            </w:r>
            <w:r w:rsidR="001B4F84" w:rsidRPr="0069375A">
              <w:rPr>
                <w:sz w:val="20"/>
                <w:szCs w:val="20"/>
              </w:rPr>
              <w:t>progress</w:t>
            </w:r>
          </w:p>
        </w:tc>
      </w:tr>
    </w:tbl>
    <w:p w:rsidR="000B0EFE" w:rsidRPr="00611EF9" w:rsidRDefault="000B0EFE" w:rsidP="00611EF9">
      <w:pPr>
        <w:pStyle w:val="NoSpacing"/>
      </w:pPr>
    </w:p>
    <w:sectPr w:rsidR="000B0EFE" w:rsidRPr="00611EF9" w:rsidSect="00FE7368">
      <w:footerReference w:type="even" r:id="rId8"/>
      <w:footerReference w:type="default" r:id="rId9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5C" w:rsidRDefault="00E47A5C">
      <w:r>
        <w:separator/>
      </w:r>
    </w:p>
  </w:endnote>
  <w:endnote w:type="continuationSeparator" w:id="0">
    <w:p w:rsidR="00E47A5C" w:rsidRDefault="00E4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MT Std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5C" w:rsidRDefault="00E47A5C" w:rsidP="00F20D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7A5C" w:rsidRDefault="00E47A5C" w:rsidP="00F202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5C" w:rsidRDefault="00E47A5C" w:rsidP="00F20D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9CF">
      <w:rPr>
        <w:rStyle w:val="PageNumber"/>
        <w:noProof/>
      </w:rPr>
      <w:t>4</w:t>
    </w:r>
    <w:r>
      <w:rPr>
        <w:rStyle w:val="PageNumber"/>
      </w:rPr>
      <w:fldChar w:fldCharType="end"/>
    </w:r>
  </w:p>
  <w:p w:rsidR="00E47A5C" w:rsidRDefault="00E47A5C" w:rsidP="00F202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5C" w:rsidRDefault="00E47A5C">
      <w:r>
        <w:separator/>
      </w:r>
    </w:p>
  </w:footnote>
  <w:footnote w:type="continuationSeparator" w:id="0">
    <w:p w:rsidR="00E47A5C" w:rsidRDefault="00E4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51400D"/>
    <w:multiLevelType w:val="hybridMultilevel"/>
    <w:tmpl w:val="D598B1FC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2">
    <w:nsid w:val="0C0E33A1"/>
    <w:multiLevelType w:val="hybridMultilevel"/>
    <w:tmpl w:val="A75CFCD8"/>
    <w:lvl w:ilvl="0" w:tplc="4476E4E2">
      <w:start w:val="1"/>
      <w:numFmt w:val="bullet"/>
      <w:lvlText w:val=""/>
      <w:lvlJc w:val="left"/>
      <w:pPr>
        <w:tabs>
          <w:tab w:val="num" w:pos="360"/>
        </w:tabs>
        <w:ind w:left="648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5583D"/>
    <w:multiLevelType w:val="hybridMultilevel"/>
    <w:tmpl w:val="A380DDE2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4">
    <w:nsid w:val="12352A64"/>
    <w:multiLevelType w:val="hybridMultilevel"/>
    <w:tmpl w:val="0DC46AE4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5">
    <w:nsid w:val="14360532"/>
    <w:multiLevelType w:val="hybridMultilevel"/>
    <w:tmpl w:val="1B9CB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719ED"/>
    <w:multiLevelType w:val="multilevel"/>
    <w:tmpl w:val="7968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A17D5"/>
    <w:multiLevelType w:val="hybridMultilevel"/>
    <w:tmpl w:val="14EA922E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8">
    <w:nsid w:val="281B41BD"/>
    <w:multiLevelType w:val="hybridMultilevel"/>
    <w:tmpl w:val="41D26870"/>
    <w:lvl w:ilvl="0" w:tplc="4476E4E2">
      <w:start w:val="1"/>
      <w:numFmt w:val="bullet"/>
      <w:lvlText w:val=""/>
      <w:lvlJc w:val="left"/>
      <w:pPr>
        <w:tabs>
          <w:tab w:val="num" w:pos="360"/>
        </w:tabs>
        <w:ind w:left="648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8C484A"/>
    <w:multiLevelType w:val="hybridMultilevel"/>
    <w:tmpl w:val="1D5A821E"/>
    <w:lvl w:ilvl="0" w:tplc="4476E4E2">
      <w:start w:val="1"/>
      <w:numFmt w:val="bullet"/>
      <w:lvlText w:val=""/>
      <w:lvlJc w:val="left"/>
      <w:pPr>
        <w:tabs>
          <w:tab w:val="num" w:pos="288"/>
        </w:tabs>
        <w:ind w:left="57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C52553"/>
    <w:multiLevelType w:val="hybridMultilevel"/>
    <w:tmpl w:val="355A3FCC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1">
    <w:nsid w:val="31F96377"/>
    <w:multiLevelType w:val="multilevel"/>
    <w:tmpl w:val="280A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127559"/>
    <w:multiLevelType w:val="hybridMultilevel"/>
    <w:tmpl w:val="45485D94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3">
    <w:nsid w:val="35A94256"/>
    <w:multiLevelType w:val="multilevel"/>
    <w:tmpl w:val="5726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DF578E"/>
    <w:multiLevelType w:val="hybridMultilevel"/>
    <w:tmpl w:val="42229D86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5">
    <w:nsid w:val="3BA321BB"/>
    <w:multiLevelType w:val="hybridMultilevel"/>
    <w:tmpl w:val="54A6DE7E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6">
    <w:nsid w:val="3C210AA2"/>
    <w:multiLevelType w:val="multilevel"/>
    <w:tmpl w:val="3FF4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742123"/>
    <w:multiLevelType w:val="hybridMultilevel"/>
    <w:tmpl w:val="04103AF6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8">
    <w:nsid w:val="426E39EA"/>
    <w:multiLevelType w:val="hybridMultilevel"/>
    <w:tmpl w:val="1D1E714E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9">
    <w:nsid w:val="46986C0B"/>
    <w:multiLevelType w:val="hybridMultilevel"/>
    <w:tmpl w:val="4A947D88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20">
    <w:nsid w:val="49404D7B"/>
    <w:multiLevelType w:val="hybridMultilevel"/>
    <w:tmpl w:val="66A89594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21">
    <w:nsid w:val="49BA1DCA"/>
    <w:multiLevelType w:val="multilevel"/>
    <w:tmpl w:val="EDC4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763C01"/>
    <w:multiLevelType w:val="hybridMultilevel"/>
    <w:tmpl w:val="72CEC954"/>
    <w:lvl w:ilvl="0" w:tplc="4476E4E2">
      <w:start w:val="1"/>
      <w:numFmt w:val="bullet"/>
      <w:lvlText w:val=""/>
      <w:lvlJc w:val="left"/>
      <w:pPr>
        <w:tabs>
          <w:tab w:val="num" w:pos="360"/>
        </w:tabs>
        <w:ind w:left="648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FF35CF"/>
    <w:multiLevelType w:val="hybridMultilevel"/>
    <w:tmpl w:val="E38AEB8C"/>
    <w:lvl w:ilvl="0" w:tplc="4476E4E2">
      <w:start w:val="1"/>
      <w:numFmt w:val="bullet"/>
      <w:lvlText w:val=""/>
      <w:lvlJc w:val="left"/>
      <w:pPr>
        <w:tabs>
          <w:tab w:val="num" w:pos="360"/>
        </w:tabs>
        <w:ind w:left="648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1D4182"/>
    <w:multiLevelType w:val="multilevel"/>
    <w:tmpl w:val="B432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FF6FCA"/>
    <w:multiLevelType w:val="hybridMultilevel"/>
    <w:tmpl w:val="B0B6BF82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26">
    <w:nsid w:val="60247F84"/>
    <w:multiLevelType w:val="hybridMultilevel"/>
    <w:tmpl w:val="8CDA2DD8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27">
    <w:nsid w:val="6493341C"/>
    <w:multiLevelType w:val="hybridMultilevel"/>
    <w:tmpl w:val="C942A0B8"/>
    <w:lvl w:ilvl="0" w:tplc="4476E4E2">
      <w:start w:val="1"/>
      <w:numFmt w:val="bullet"/>
      <w:lvlText w:val=""/>
      <w:lvlJc w:val="left"/>
      <w:pPr>
        <w:tabs>
          <w:tab w:val="num" w:pos="360"/>
        </w:tabs>
        <w:ind w:left="648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CB0666"/>
    <w:multiLevelType w:val="multilevel"/>
    <w:tmpl w:val="EA8A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24347B"/>
    <w:multiLevelType w:val="multilevel"/>
    <w:tmpl w:val="0B10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B70596"/>
    <w:multiLevelType w:val="hybridMultilevel"/>
    <w:tmpl w:val="183C2F2C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31">
    <w:nsid w:val="7E7F2A9C"/>
    <w:multiLevelType w:val="hybridMultilevel"/>
    <w:tmpl w:val="B92C59C0"/>
    <w:lvl w:ilvl="0" w:tplc="4476E4E2">
      <w:start w:val="1"/>
      <w:numFmt w:val="bullet"/>
      <w:lvlText w:val=""/>
      <w:lvlJc w:val="left"/>
      <w:pPr>
        <w:tabs>
          <w:tab w:val="num" w:pos="1368"/>
        </w:tabs>
        <w:ind w:left="165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7"/>
  </w:num>
  <w:num w:numId="4">
    <w:abstractNumId w:val="22"/>
  </w:num>
  <w:num w:numId="5">
    <w:abstractNumId w:val="9"/>
  </w:num>
  <w:num w:numId="6">
    <w:abstractNumId w:val="8"/>
  </w:num>
  <w:num w:numId="7">
    <w:abstractNumId w:val="1"/>
  </w:num>
  <w:num w:numId="8">
    <w:abstractNumId w:val="26"/>
  </w:num>
  <w:num w:numId="9">
    <w:abstractNumId w:val="7"/>
  </w:num>
  <w:num w:numId="10">
    <w:abstractNumId w:val="15"/>
  </w:num>
  <w:num w:numId="11">
    <w:abstractNumId w:val="4"/>
  </w:num>
  <w:num w:numId="12">
    <w:abstractNumId w:val="3"/>
  </w:num>
  <w:num w:numId="13">
    <w:abstractNumId w:val="25"/>
  </w:num>
  <w:num w:numId="14">
    <w:abstractNumId w:val="10"/>
  </w:num>
  <w:num w:numId="15">
    <w:abstractNumId w:val="18"/>
  </w:num>
  <w:num w:numId="16">
    <w:abstractNumId w:val="12"/>
  </w:num>
  <w:num w:numId="17">
    <w:abstractNumId w:val="20"/>
  </w:num>
  <w:num w:numId="18">
    <w:abstractNumId w:val="30"/>
  </w:num>
  <w:num w:numId="19">
    <w:abstractNumId w:val="31"/>
  </w:num>
  <w:num w:numId="20">
    <w:abstractNumId w:val="17"/>
  </w:num>
  <w:num w:numId="21">
    <w:abstractNumId w:val="14"/>
  </w:num>
  <w:num w:numId="22">
    <w:abstractNumId w:val="19"/>
  </w:num>
  <w:num w:numId="23">
    <w:abstractNumId w:val="2"/>
  </w:num>
  <w:num w:numId="24">
    <w:abstractNumId w:val="23"/>
  </w:num>
  <w:num w:numId="25">
    <w:abstractNumId w:val="5"/>
  </w:num>
  <w:num w:numId="26">
    <w:abstractNumId w:val="21"/>
  </w:num>
  <w:num w:numId="27">
    <w:abstractNumId w:val="24"/>
  </w:num>
  <w:num w:numId="28">
    <w:abstractNumId w:val="28"/>
  </w:num>
  <w:num w:numId="29">
    <w:abstractNumId w:val="16"/>
  </w:num>
  <w:num w:numId="30">
    <w:abstractNumId w:val="13"/>
  </w:num>
  <w:num w:numId="31">
    <w:abstractNumId w:val="1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92"/>
    <w:rsid w:val="000472E9"/>
    <w:rsid w:val="000B0EFE"/>
    <w:rsid w:val="00124B60"/>
    <w:rsid w:val="00130264"/>
    <w:rsid w:val="001B4F84"/>
    <w:rsid w:val="00202229"/>
    <w:rsid w:val="00234627"/>
    <w:rsid w:val="002A4ABB"/>
    <w:rsid w:val="002E1A01"/>
    <w:rsid w:val="002E4AA4"/>
    <w:rsid w:val="00397ECA"/>
    <w:rsid w:val="003C6724"/>
    <w:rsid w:val="003F0886"/>
    <w:rsid w:val="0040533A"/>
    <w:rsid w:val="00444594"/>
    <w:rsid w:val="004F5D46"/>
    <w:rsid w:val="005032FF"/>
    <w:rsid w:val="005210BD"/>
    <w:rsid w:val="00595CED"/>
    <w:rsid w:val="005B54BF"/>
    <w:rsid w:val="005F5075"/>
    <w:rsid w:val="005F6715"/>
    <w:rsid w:val="006038E3"/>
    <w:rsid w:val="00611EF9"/>
    <w:rsid w:val="00620661"/>
    <w:rsid w:val="0069375A"/>
    <w:rsid w:val="006A7597"/>
    <w:rsid w:val="006F7087"/>
    <w:rsid w:val="00770A20"/>
    <w:rsid w:val="00781739"/>
    <w:rsid w:val="007942E1"/>
    <w:rsid w:val="007D1FC1"/>
    <w:rsid w:val="00802CC1"/>
    <w:rsid w:val="00903630"/>
    <w:rsid w:val="009254BB"/>
    <w:rsid w:val="009C513D"/>
    <w:rsid w:val="00A6098B"/>
    <w:rsid w:val="00A70C7E"/>
    <w:rsid w:val="00A878DE"/>
    <w:rsid w:val="00B426AE"/>
    <w:rsid w:val="00B42780"/>
    <w:rsid w:val="00B86C60"/>
    <w:rsid w:val="00BD25F4"/>
    <w:rsid w:val="00C31BB9"/>
    <w:rsid w:val="00C62D92"/>
    <w:rsid w:val="00C829CF"/>
    <w:rsid w:val="00CB3CB3"/>
    <w:rsid w:val="00D13707"/>
    <w:rsid w:val="00D31FEB"/>
    <w:rsid w:val="00E47A5C"/>
    <w:rsid w:val="00E95327"/>
    <w:rsid w:val="00F202B7"/>
    <w:rsid w:val="00F20DDD"/>
    <w:rsid w:val="00FA64BC"/>
    <w:rsid w:val="00FE4FF9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210BD"/>
    <w:rPr>
      <w:b/>
      <w:bCs/>
    </w:rPr>
  </w:style>
  <w:style w:type="character" w:styleId="Emphasis">
    <w:name w:val="Emphasis"/>
    <w:basedOn w:val="DefaultParagraphFont"/>
    <w:qFormat/>
    <w:rsid w:val="009254BB"/>
    <w:rPr>
      <w:i/>
      <w:iCs/>
    </w:rPr>
  </w:style>
  <w:style w:type="paragraph" w:styleId="Header">
    <w:name w:val="header"/>
    <w:basedOn w:val="Normal"/>
    <w:rsid w:val="006206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06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0661"/>
  </w:style>
  <w:style w:type="paragraph" w:styleId="NormalWeb">
    <w:name w:val="Normal (Web)"/>
    <w:basedOn w:val="Normal"/>
    <w:rsid w:val="005B54BF"/>
    <w:pPr>
      <w:spacing w:after="240"/>
    </w:pPr>
  </w:style>
  <w:style w:type="character" w:customStyle="1" w:styleId="apple-style-span">
    <w:name w:val="apple-style-span"/>
    <w:basedOn w:val="DefaultParagraphFont"/>
    <w:rsid w:val="005B54BF"/>
  </w:style>
  <w:style w:type="paragraph" w:styleId="BodyText">
    <w:name w:val="Body Text"/>
    <w:basedOn w:val="Normal"/>
    <w:rsid w:val="000B0EFE"/>
    <w:pPr>
      <w:widowControl w:val="0"/>
      <w:suppressAutoHyphens/>
      <w:spacing w:after="120"/>
    </w:pPr>
    <w:rPr>
      <w:rFonts w:ascii="Times New Roman MT Std" w:eastAsia="Arial Unicode MS" w:hAnsi="Times New Roman MT Std" w:cs="Tahoma"/>
      <w:lang w:bidi="en-US"/>
    </w:rPr>
  </w:style>
  <w:style w:type="table" w:styleId="TableGrid">
    <w:name w:val="Table Grid"/>
    <w:basedOn w:val="TableNormal"/>
    <w:rsid w:val="00FE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A01"/>
    <w:pPr>
      <w:ind w:left="720"/>
      <w:contextualSpacing/>
    </w:pPr>
  </w:style>
  <w:style w:type="paragraph" w:styleId="NoSpacing">
    <w:name w:val="No Spacing"/>
    <w:uiPriority w:val="1"/>
    <w:qFormat/>
    <w:rsid w:val="0061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210BD"/>
    <w:rPr>
      <w:b/>
      <w:bCs/>
    </w:rPr>
  </w:style>
  <w:style w:type="character" w:styleId="Emphasis">
    <w:name w:val="Emphasis"/>
    <w:basedOn w:val="DefaultParagraphFont"/>
    <w:qFormat/>
    <w:rsid w:val="009254BB"/>
    <w:rPr>
      <w:i/>
      <w:iCs/>
    </w:rPr>
  </w:style>
  <w:style w:type="paragraph" w:styleId="Header">
    <w:name w:val="header"/>
    <w:basedOn w:val="Normal"/>
    <w:rsid w:val="006206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06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0661"/>
  </w:style>
  <w:style w:type="paragraph" w:styleId="NormalWeb">
    <w:name w:val="Normal (Web)"/>
    <w:basedOn w:val="Normal"/>
    <w:rsid w:val="005B54BF"/>
    <w:pPr>
      <w:spacing w:after="240"/>
    </w:pPr>
  </w:style>
  <w:style w:type="character" w:customStyle="1" w:styleId="apple-style-span">
    <w:name w:val="apple-style-span"/>
    <w:basedOn w:val="DefaultParagraphFont"/>
    <w:rsid w:val="005B54BF"/>
  </w:style>
  <w:style w:type="paragraph" w:styleId="BodyText">
    <w:name w:val="Body Text"/>
    <w:basedOn w:val="Normal"/>
    <w:rsid w:val="000B0EFE"/>
    <w:pPr>
      <w:widowControl w:val="0"/>
      <w:suppressAutoHyphens/>
      <w:spacing w:after="120"/>
    </w:pPr>
    <w:rPr>
      <w:rFonts w:ascii="Times New Roman MT Std" w:eastAsia="Arial Unicode MS" w:hAnsi="Times New Roman MT Std" w:cs="Tahoma"/>
      <w:lang w:bidi="en-US"/>
    </w:rPr>
  </w:style>
  <w:style w:type="table" w:styleId="TableGrid">
    <w:name w:val="Table Grid"/>
    <w:basedOn w:val="TableNormal"/>
    <w:rsid w:val="00FE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A01"/>
    <w:pPr>
      <w:ind w:left="720"/>
      <w:contextualSpacing/>
    </w:pPr>
  </w:style>
  <w:style w:type="paragraph" w:styleId="NoSpacing">
    <w:name w:val="No Spacing"/>
    <w:uiPriority w:val="1"/>
    <w:qFormat/>
    <w:rsid w:val="0061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6496">
                  <w:marLeft w:val="3300"/>
                  <w:marRight w:val="300"/>
                  <w:marTop w:val="3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 and Gender Studies Program Strategic Plan</vt:lpstr>
    </vt:vector>
  </TitlesOfParts>
  <Company>Home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 and Gender Studies Program Strategic Plan</dc:title>
  <dc:creator>KU</dc:creator>
  <cp:lastModifiedBy>glassst</cp:lastModifiedBy>
  <cp:revision>2</cp:revision>
  <cp:lastPrinted>2008-02-24T15:34:00Z</cp:lastPrinted>
  <dcterms:created xsi:type="dcterms:W3CDTF">2011-09-30T13:15:00Z</dcterms:created>
  <dcterms:modified xsi:type="dcterms:W3CDTF">2011-09-30T13:15:00Z</dcterms:modified>
</cp:coreProperties>
</file>